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50FA1" w14:textId="77777777" w:rsidR="00DD0C52" w:rsidRPr="0036683B" w:rsidRDefault="00DD0C52" w:rsidP="00DA2D4A">
      <w:pPr>
        <w:tabs>
          <w:tab w:val="left" w:pos="9639"/>
          <w:tab w:val="left" w:pos="9923"/>
          <w:tab w:val="left" w:pos="10057"/>
        </w:tabs>
        <w:ind w:left="5387" w:right="-8" w:firstLine="0"/>
        <w:jc w:val="left"/>
        <w:rPr>
          <w:b/>
        </w:rPr>
      </w:pPr>
      <w:r w:rsidRPr="0036683B">
        <w:rPr>
          <w:b/>
        </w:rPr>
        <w:t>УТВЕРЖДЕНО</w:t>
      </w:r>
    </w:p>
    <w:p w14:paraId="46C56F6D" w14:textId="77777777" w:rsidR="00DD0C52" w:rsidRPr="0036683B" w:rsidRDefault="00DD0C52" w:rsidP="00DA2D4A">
      <w:pPr>
        <w:tabs>
          <w:tab w:val="left" w:pos="9639"/>
          <w:tab w:val="left" w:pos="9923"/>
          <w:tab w:val="left" w:pos="10057"/>
        </w:tabs>
        <w:ind w:left="5387" w:right="-8" w:firstLine="0"/>
        <w:jc w:val="left"/>
      </w:pPr>
      <w:r w:rsidRPr="0036683B">
        <w:t>Приказом Генерального директора</w:t>
      </w:r>
    </w:p>
    <w:p w14:paraId="1F507D92" w14:textId="77777777" w:rsidR="00DD0C52" w:rsidRPr="0036683B" w:rsidRDefault="00DD0C52" w:rsidP="00DA2D4A">
      <w:pPr>
        <w:tabs>
          <w:tab w:val="left" w:pos="9639"/>
          <w:tab w:val="left" w:pos="9923"/>
          <w:tab w:val="left" w:pos="10057"/>
        </w:tabs>
        <w:ind w:left="5387" w:right="-8" w:firstLine="0"/>
        <w:jc w:val="left"/>
      </w:pPr>
      <w:r w:rsidRPr="0036683B">
        <w:t>Акционерного общества</w:t>
      </w:r>
    </w:p>
    <w:p w14:paraId="6DEDFCC3" w14:textId="77777777" w:rsidR="00DD0C52" w:rsidRPr="0036683B" w:rsidRDefault="00DD0C52" w:rsidP="00DA2D4A">
      <w:pPr>
        <w:tabs>
          <w:tab w:val="left" w:pos="9639"/>
          <w:tab w:val="left" w:pos="9923"/>
          <w:tab w:val="left" w:pos="10057"/>
        </w:tabs>
        <w:ind w:left="5387" w:right="-8" w:firstLine="0"/>
        <w:jc w:val="left"/>
      </w:pPr>
      <w:r w:rsidRPr="0036683B">
        <w:t>«Мир Бизнес Банк»</w:t>
      </w:r>
    </w:p>
    <w:p w14:paraId="5E06C3EB" w14:textId="1EDB2125" w:rsidR="00DD0C52" w:rsidRPr="0036683B" w:rsidRDefault="002D5927" w:rsidP="00DA2D4A">
      <w:pPr>
        <w:tabs>
          <w:tab w:val="left" w:pos="2145"/>
          <w:tab w:val="left" w:pos="9639"/>
          <w:tab w:val="left" w:pos="9923"/>
          <w:tab w:val="left" w:pos="10057"/>
        </w:tabs>
        <w:ind w:left="5387" w:right="-8" w:firstLine="0"/>
        <w:jc w:val="left"/>
      </w:pPr>
      <w:r w:rsidRPr="0036683B">
        <w:t>от</w:t>
      </w:r>
      <w:r w:rsidR="00DD0C52" w:rsidRPr="0036683B">
        <w:t xml:space="preserve"> </w:t>
      </w:r>
      <w:r w:rsidRPr="0036683B">
        <w:t>«</w:t>
      </w:r>
      <w:r w:rsidR="00D65EA9">
        <w:t>15</w:t>
      </w:r>
      <w:r w:rsidR="00DD0C52" w:rsidRPr="0036683B">
        <w:t xml:space="preserve">» </w:t>
      </w:r>
      <w:r w:rsidR="00600C4F">
        <w:t>мая</w:t>
      </w:r>
      <w:r w:rsidR="00DD0C52" w:rsidRPr="0036683B">
        <w:t xml:space="preserve"> 201</w:t>
      </w:r>
      <w:r w:rsidR="00DA2D4A">
        <w:t>8</w:t>
      </w:r>
      <w:r w:rsidR="00DD0C52" w:rsidRPr="0036683B">
        <w:t xml:space="preserve"> г.</w:t>
      </w:r>
      <w:r w:rsidR="00D65EA9">
        <w:t xml:space="preserve"> № ОД-05/15-2</w:t>
      </w:r>
    </w:p>
    <w:p w14:paraId="4496EA9C" w14:textId="77777777" w:rsidR="00DD0C52" w:rsidRPr="0036683B" w:rsidRDefault="00DD0C52" w:rsidP="00DA2D4A">
      <w:pPr>
        <w:tabs>
          <w:tab w:val="left" w:pos="9639"/>
          <w:tab w:val="left" w:pos="9923"/>
          <w:tab w:val="left" w:pos="10057"/>
        </w:tabs>
        <w:ind w:left="5387" w:right="-8" w:firstLine="0"/>
        <w:jc w:val="left"/>
      </w:pPr>
    </w:p>
    <w:p w14:paraId="355B5DE5" w14:textId="77777777" w:rsidR="00DD0C52" w:rsidRPr="0036683B" w:rsidRDefault="00DD0C52" w:rsidP="00415930">
      <w:pPr>
        <w:spacing w:after="0" w:line="238" w:lineRule="auto"/>
        <w:ind w:left="578" w:right="567" w:firstLine="0"/>
        <w:jc w:val="center"/>
        <w:rPr>
          <w:b/>
          <w:sz w:val="28"/>
        </w:rPr>
      </w:pPr>
      <w:bookmarkStart w:id="0" w:name="_GoBack"/>
      <w:bookmarkEnd w:id="0"/>
    </w:p>
    <w:p w14:paraId="359058BF" w14:textId="1CC349F1" w:rsidR="00415930" w:rsidRPr="00D65EA9" w:rsidRDefault="0049204A" w:rsidP="009006DA">
      <w:pPr>
        <w:spacing w:after="0" w:line="238" w:lineRule="auto"/>
        <w:ind w:left="578" w:right="567" w:firstLine="0"/>
        <w:jc w:val="center"/>
        <w:rPr>
          <w:b/>
          <w:sz w:val="28"/>
        </w:rPr>
      </w:pPr>
      <w:r w:rsidRPr="0036683B">
        <w:rPr>
          <w:b/>
          <w:sz w:val="28"/>
        </w:rPr>
        <w:t xml:space="preserve">Критерии </w:t>
      </w:r>
      <w:r w:rsidRPr="00D65EA9">
        <w:rPr>
          <w:b/>
          <w:sz w:val="28"/>
        </w:rPr>
        <w:t xml:space="preserve">отнесения клиентов </w:t>
      </w:r>
      <w:r w:rsidR="00415930" w:rsidRPr="00D65EA9">
        <w:rPr>
          <w:b/>
          <w:sz w:val="28"/>
        </w:rPr>
        <w:t xml:space="preserve">(контрагентов) </w:t>
      </w:r>
      <w:r w:rsidR="004F1EE6" w:rsidRPr="00D65EA9">
        <w:rPr>
          <w:b/>
          <w:sz w:val="28"/>
        </w:rPr>
        <w:t xml:space="preserve">АО «МБ </w:t>
      </w:r>
      <w:r w:rsidR="00415930" w:rsidRPr="00D65EA9">
        <w:rPr>
          <w:b/>
          <w:sz w:val="28"/>
        </w:rPr>
        <w:t>Банк» к</w:t>
      </w:r>
      <w:r w:rsidRPr="00D65EA9">
        <w:rPr>
          <w:b/>
          <w:sz w:val="28"/>
        </w:rPr>
        <w:t xml:space="preserve"> категории </w:t>
      </w:r>
      <w:r w:rsidR="00415930" w:rsidRPr="00D65EA9">
        <w:rPr>
          <w:b/>
          <w:sz w:val="28"/>
        </w:rPr>
        <w:t>налогоплательщиков США</w:t>
      </w:r>
    </w:p>
    <w:p w14:paraId="7DA95AD2" w14:textId="77777777" w:rsidR="00415930" w:rsidRPr="00D65EA9" w:rsidRDefault="00415930" w:rsidP="00415930">
      <w:pPr>
        <w:spacing w:after="0" w:line="238" w:lineRule="auto"/>
        <w:ind w:left="578" w:right="567" w:firstLine="0"/>
        <w:jc w:val="center"/>
        <w:rPr>
          <w:b/>
          <w:sz w:val="28"/>
        </w:rPr>
      </w:pPr>
    </w:p>
    <w:p w14:paraId="650E1669" w14:textId="60AC523E" w:rsidR="00671954" w:rsidRPr="00D65EA9" w:rsidRDefault="0049204A" w:rsidP="00870CD5">
      <w:pPr>
        <w:numPr>
          <w:ilvl w:val="0"/>
          <w:numId w:val="1"/>
        </w:numPr>
        <w:spacing w:after="0" w:line="240" w:lineRule="auto"/>
        <w:ind w:left="6" w:right="0" w:firstLine="709"/>
        <w:contextualSpacing/>
        <w:rPr>
          <w:b/>
          <w:szCs w:val="24"/>
        </w:rPr>
      </w:pPr>
      <w:r w:rsidRPr="00D65EA9">
        <w:rPr>
          <w:b/>
          <w:szCs w:val="24"/>
        </w:rPr>
        <w:t xml:space="preserve">Критерии </w:t>
      </w:r>
      <w:r w:rsidR="009F6D35" w:rsidRPr="00D65EA9">
        <w:rPr>
          <w:b/>
          <w:szCs w:val="24"/>
        </w:rPr>
        <w:t>отнесения физических</w:t>
      </w:r>
      <w:r w:rsidRPr="00D65EA9">
        <w:rPr>
          <w:b/>
          <w:szCs w:val="24"/>
        </w:rPr>
        <w:t xml:space="preserve"> лиц и индивидуальных предпринимателей к категории налогоплательщиков</w:t>
      </w:r>
      <w:r w:rsidR="00413DD4" w:rsidRPr="00D65EA9">
        <w:rPr>
          <w:b/>
          <w:szCs w:val="24"/>
        </w:rPr>
        <w:t xml:space="preserve"> США</w:t>
      </w:r>
      <w:r w:rsidRPr="00D65EA9">
        <w:rPr>
          <w:b/>
          <w:szCs w:val="24"/>
        </w:rPr>
        <w:t>:</w:t>
      </w:r>
    </w:p>
    <w:p w14:paraId="687E982D" w14:textId="77777777" w:rsidR="00671954" w:rsidRPr="00D65EA9" w:rsidRDefault="0049204A" w:rsidP="00870CD5">
      <w:pPr>
        <w:numPr>
          <w:ilvl w:val="1"/>
          <w:numId w:val="1"/>
        </w:numPr>
        <w:spacing w:before="120" w:after="0" w:line="240" w:lineRule="auto"/>
        <w:ind w:left="6" w:right="0" w:firstLine="709"/>
        <w:rPr>
          <w:szCs w:val="24"/>
        </w:rPr>
      </w:pPr>
      <w:r w:rsidRPr="00D65EA9">
        <w:rPr>
          <w:szCs w:val="24"/>
        </w:rPr>
        <w:t xml:space="preserve">Физическое лицо / индивидуальный предприниматель является гражданином </w:t>
      </w:r>
      <w:r w:rsidR="00415930" w:rsidRPr="00D65EA9">
        <w:rPr>
          <w:szCs w:val="24"/>
        </w:rPr>
        <w:t>США</w:t>
      </w:r>
      <w:r w:rsidRPr="00D65EA9">
        <w:rPr>
          <w:szCs w:val="24"/>
        </w:rPr>
        <w:t>.</w:t>
      </w:r>
    </w:p>
    <w:p w14:paraId="5BA0F4FA" w14:textId="77777777" w:rsidR="00671954" w:rsidRPr="00D65EA9" w:rsidRDefault="0049204A" w:rsidP="00870CD5">
      <w:pPr>
        <w:numPr>
          <w:ilvl w:val="1"/>
          <w:numId w:val="1"/>
        </w:numPr>
        <w:spacing w:before="120" w:after="0" w:line="240" w:lineRule="auto"/>
        <w:ind w:left="6" w:right="0" w:firstLine="709"/>
        <w:rPr>
          <w:szCs w:val="24"/>
        </w:rPr>
      </w:pPr>
      <w:r w:rsidRPr="00D65EA9">
        <w:rPr>
          <w:szCs w:val="24"/>
        </w:rPr>
        <w:t xml:space="preserve">Физическое лицо / индивидуальный предприниматель </w:t>
      </w:r>
      <w:r w:rsidR="00250969" w:rsidRPr="00D65EA9">
        <w:rPr>
          <w:szCs w:val="24"/>
        </w:rPr>
        <w:t xml:space="preserve">не является гражданином США, но </w:t>
      </w:r>
      <w:r w:rsidRPr="00D65EA9">
        <w:rPr>
          <w:szCs w:val="24"/>
        </w:rPr>
        <w:t xml:space="preserve">имеет </w:t>
      </w:r>
      <w:r w:rsidR="00250969" w:rsidRPr="00D65EA9">
        <w:rPr>
          <w:szCs w:val="24"/>
        </w:rPr>
        <w:t xml:space="preserve">право на постоянное проживание и работу без ограничения на территории США </w:t>
      </w:r>
      <w:r w:rsidRPr="00D65EA9">
        <w:rPr>
          <w:szCs w:val="24"/>
        </w:rPr>
        <w:t>(</w:t>
      </w:r>
      <w:r w:rsidR="00250969" w:rsidRPr="00D65EA9">
        <w:rPr>
          <w:szCs w:val="24"/>
        </w:rPr>
        <w:t>подтверждается картой, оформленной по форме USCIS I-551 – «</w:t>
      </w:r>
      <w:proofErr w:type="spellStart"/>
      <w:r w:rsidR="00250969" w:rsidRPr="00D65EA9">
        <w:rPr>
          <w:szCs w:val="24"/>
        </w:rPr>
        <w:t>Green</w:t>
      </w:r>
      <w:proofErr w:type="spellEnd"/>
      <w:r w:rsidR="00250969" w:rsidRPr="00D65EA9">
        <w:rPr>
          <w:szCs w:val="24"/>
        </w:rPr>
        <w:t xml:space="preserve"> </w:t>
      </w:r>
      <w:proofErr w:type="spellStart"/>
      <w:r w:rsidR="00250969" w:rsidRPr="00D65EA9">
        <w:rPr>
          <w:szCs w:val="24"/>
        </w:rPr>
        <w:t>card</w:t>
      </w:r>
      <w:proofErr w:type="spellEnd"/>
      <w:r w:rsidR="00250969" w:rsidRPr="00D65EA9">
        <w:rPr>
          <w:szCs w:val="24"/>
        </w:rPr>
        <w:t>»)</w:t>
      </w:r>
      <w:r w:rsidRPr="00D65EA9">
        <w:rPr>
          <w:szCs w:val="24"/>
        </w:rPr>
        <w:t>.</w:t>
      </w:r>
    </w:p>
    <w:p w14:paraId="48E2F39C" w14:textId="77777777" w:rsidR="00413DD4" w:rsidRPr="00D65EA9" w:rsidRDefault="00413DD4" w:rsidP="00870CD5">
      <w:pPr>
        <w:numPr>
          <w:ilvl w:val="1"/>
          <w:numId w:val="1"/>
        </w:numPr>
        <w:spacing w:before="120" w:after="0" w:line="240" w:lineRule="auto"/>
        <w:ind w:left="6" w:right="0" w:firstLine="709"/>
        <w:rPr>
          <w:szCs w:val="24"/>
        </w:rPr>
      </w:pPr>
      <w:r w:rsidRPr="00D65EA9">
        <w:rPr>
          <w:szCs w:val="24"/>
        </w:rPr>
        <w:t>Физическое лицо</w:t>
      </w:r>
      <w:r w:rsidR="00250969" w:rsidRPr="00D65EA9">
        <w:rPr>
          <w:szCs w:val="24"/>
        </w:rPr>
        <w:t xml:space="preserve"> /</w:t>
      </w:r>
      <w:r w:rsidRPr="00D65EA9">
        <w:rPr>
          <w:szCs w:val="24"/>
        </w:rPr>
        <w:t xml:space="preserve"> индивидуальный предприниматель</w:t>
      </w:r>
      <w:r w:rsidR="00250969" w:rsidRPr="00D65EA9">
        <w:rPr>
          <w:szCs w:val="24"/>
        </w:rPr>
        <w:t xml:space="preserve"> не является гражданином США, но соответствует</w:t>
      </w:r>
      <w:r w:rsidRPr="00D65EA9">
        <w:rPr>
          <w:szCs w:val="24"/>
        </w:rPr>
        <w:t xml:space="preserve"> критериям «долгосрочного пребывания в иностранном государстве», т.е. находится на территории этого государства не менее срока, установленного законодательством иностранного государства для признания налогоплательщиком или налоговым резидентом иностранного государства. Применительно к США долгосрочным считается пребывание, если срок нахождения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</w:t>
      </w:r>
    </w:p>
    <w:p w14:paraId="45A88AE0" w14:textId="77777777" w:rsidR="00413DD4" w:rsidRPr="00D65EA9" w:rsidRDefault="00413DD4" w:rsidP="00870CD5">
      <w:pPr>
        <w:spacing w:after="0" w:line="240" w:lineRule="auto"/>
        <w:ind w:right="2" w:firstLine="715"/>
        <w:contextualSpacing/>
        <w:rPr>
          <w:szCs w:val="24"/>
        </w:rPr>
      </w:pPr>
      <w:r w:rsidRPr="00D65EA9">
        <w:rPr>
          <w:szCs w:val="24"/>
        </w:rPr>
        <w:t xml:space="preserve">При этом сумма дней, в течение которых физическое лицо присутствовало на территории </w:t>
      </w:r>
      <w:r w:rsidR="00250969" w:rsidRPr="00D65EA9">
        <w:rPr>
          <w:szCs w:val="24"/>
        </w:rPr>
        <w:t>США</w:t>
      </w:r>
      <w:r w:rsidRPr="00D65EA9">
        <w:rPr>
          <w:szCs w:val="24"/>
        </w:rPr>
        <w:t xml:space="preserve"> в текущем году, а также в двух предшествующих годах, умножается на установленный коэффициент: </w:t>
      </w:r>
    </w:p>
    <w:p w14:paraId="6DE4A018" w14:textId="77777777" w:rsidR="00413DD4" w:rsidRPr="00D65EA9" w:rsidRDefault="00413DD4" w:rsidP="00870CD5">
      <w:pPr>
        <w:pStyle w:val="a3"/>
        <w:numPr>
          <w:ilvl w:val="0"/>
          <w:numId w:val="7"/>
        </w:numPr>
        <w:spacing w:after="0" w:line="240" w:lineRule="auto"/>
        <w:ind w:left="709" w:right="2" w:hanging="283"/>
        <w:rPr>
          <w:szCs w:val="24"/>
        </w:rPr>
      </w:pPr>
      <w:r w:rsidRPr="00D65EA9">
        <w:rPr>
          <w:szCs w:val="24"/>
        </w:rPr>
        <w:t xml:space="preserve">для текущего года – 1; </w:t>
      </w:r>
    </w:p>
    <w:p w14:paraId="76DEA80F" w14:textId="77777777" w:rsidR="00413DD4" w:rsidRPr="00D65EA9" w:rsidRDefault="00413DD4" w:rsidP="00870CD5">
      <w:pPr>
        <w:pStyle w:val="a3"/>
        <w:numPr>
          <w:ilvl w:val="0"/>
          <w:numId w:val="7"/>
        </w:numPr>
        <w:spacing w:after="0" w:line="240" w:lineRule="auto"/>
        <w:ind w:left="709" w:right="2" w:hanging="283"/>
        <w:rPr>
          <w:szCs w:val="24"/>
        </w:rPr>
      </w:pPr>
      <w:r w:rsidRPr="00D65EA9">
        <w:rPr>
          <w:szCs w:val="24"/>
        </w:rPr>
        <w:t xml:space="preserve">для предыдущего года – 1/3; </w:t>
      </w:r>
    </w:p>
    <w:p w14:paraId="56E244A7" w14:textId="77777777" w:rsidR="00CD2548" w:rsidRPr="00D65EA9" w:rsidRDefault="00413DD4" w:rsidP="00870CD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709" w:right="-8" w:hanging="283"/>
        <w:jc w:val="left"/>
        <w:rPr>
          <w:szCs w:val="24"/>
        </w:rPr>
      </w:pPr>
      <w:r w:rsidRPr="00D65EA9">
        <w:rPr>
          <w:szCs w:val="24"/>
        </w:rPr>
        <w:t xml:space="preserve">для предшествующего предыдущему году – 1/6. </w:t>
      </w:r>
    </w:p>
    <w:p w14:paraId="4170A897" w14:textId="77777777" w:rsidR="00CD2548" w:rsidRPr="00D65EA9" w:rsidRDefault="00A82424" w:rsidP="00870CD5">
      <w:pPr>
        <w:pStyle w:val="a3"/>
        <w:tabs>
          <w:tab w:val="left" w:pos="993"/>
        </w:tabs>
        <w:spacing w:after="0" w:line="240" w:lineRule="auto"/>
        <w:ind w:left="709" w:right="-8" w:firstLine="0"/>
        <w:jc w:val="left"/>
        <w:rPr>
          <w:szCs w:val="24"/>
        </w:rPr>
      </w:pPr>
      <w:r w:rsidRPr="00D65EA9">
        <w:rPr>
          <w:szCs w:val="24"/>
        </w:rPr>
        <w:t xml:space="preserve">Налоговыми резидентами </w:t>
      </w:r>
      <w:r w:rsidR="00A3328C" w:rsidRPr="00D65EA9">
        <w:rPr>
          <w:szCs w:val="24"/>
        </w:rPr>
        <w:t>США по</w:t>
      </w:r>
      <w:r w:rsidR="00CD2548" w:rsidRPr="00D65EA9">
        <w:rPr>
          <w:szCs w:val="24"/>
        </w:rPr>
        <w:t xml:space="preserve"> данному критерию </w:t>
      </w:r>
      <w:r w:rsidRPr="00D65EA9">
        <w:rPr>
          <w:szCs w:val="24"/>
        </w:rPr>
        <w:t>не признаются</w:t>
      </w:r>
      <w:r w:rsidR="00CD2548" w:rsidRPr="00D65EA9">
        <w:rPr>
          <w:szCs w:val="24"/>
        </w:rPr>
        <w:t>:</w:t>
      </w:r>
    </w:p>
    <w:p w14:paraId="1A006E3E" w14:textId="77777777" w:rsidR="00A82424" w:rsidRPr="00D65EA9" w:rsidRDefault="00A82424" w:rsidP="00870CD5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709" w:right="-8" w:hanging="283"/>
        <w:rPr>
          <w:szCs w:val="24"/>
        </w:rPr>
      </w:pPr>
      <w:r w:rsidRPr="00D65EA9">
        <w:rPr>
          <w:szCs w:val="24"/>
        </w:rPr>
        <w:t>учителя, студенты и стажеры, временно присутствовавшие на территории США на основании</w:t>
      </w:r>
      <w:r w:rsidR="00CD2548" w:rsidRPr="00D65EA9">
        <w:rPr>
          <w:szCs w:val="24"/>
        </w:rPr>
        <w:t xml:space="preserve"> виз типа «F», «J», «M» или «Q»;</w:t>
      </w:r>
    </w:p>
    <w:p w14:paraId="1D91FBA5" w14:textId="77777777" w:rsidR="00CD2548" w:rsidRPr="00D65EA9" w:rsidRDefault="00CD2548" w:rsidP="00870CD5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709" w:right="-8" w:hanging="283"/>
        <w:rPr>
          <w:szCs w:val="24"/>
        </w:rPr>
      </w:pPr>
      <w:r w:rsidRPr="00D65EA9">
        <w:rPr>
          <w:szCs w:val="24"/>
        </w:rPr>
        <w:t>лицо, временно присутствующее на территории США в качестве представителей иностранного правительства или лица, связанного с иностранным правительством, на основании виз категорий «A» или «G»;</w:t>
      </w:r>
    </w:p>
    <w:p w14:paraId="046FA87C" w14:textId="758FDF14" w:rsidR="00E73E3F" w:rsidRPr="00D65EA9" w:rsidRDefault="00E73E3F" w:rsidP="00870CD5">
      <w:pPr>
        <w:numPr>
          <w:ilvl w:val="1"/>
          <w:numId w:val="1"/>
        </w:numPr>
        <w:spacing w:before="120"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Дополнительные признаки, которые могут свидетельствовать о принадлежности </w:t>
      </w:r>
      <w:r w:rsidR="00F63296" w:rsidRPr="00D65EA9">
        <w:rPr>
          <w:szCs w:val="24"/>
        </w:rPr>
        <w:t xml:space="preserve">физического </w:t>
      </w:r>
      <w:proofErr w:type="gramStart"/>
      <w:r w:rsidR="00F63296" w:rsidRPr="00D65EA9">
        <w:rPr>
          <w:szCs w:val="24"/>
        </w:rPr>
        <w:t>лица  /</w:t>
      </w:r>
      <w:proofErr w:type="gramEnd"/>
      <w:r w:rsidR="00F63296" w:rsidRPr="00D65EA9">
        <w:rPr>
          <w:szCs w:val="24"/>
        </w:rPr>
        <w:t xml:space="preserve"> индивидуального предпринимателя </w:t>
      </w:r>
      <w:r w:rsidRPr="00D65EA9">
        <w:rPr>
          <w:szCs w:val="24"/>
        </w:rPr>
        <w:t xml:space="preserve"> к категории налогоплательщиков США и могут быть установлены Банком на основе сведений, представленных </w:t>
      </w:r>
      <w:r w:rsidR="00F63296" w:rsidRPr="00D65EA9">
        <w:rPr>
          <w:szCs w:val="24"/>
        </w:rPr>
        <w:t xml:space="preserve"> </w:t>
      </w:r>
      <w:r w:rsidRPr="00D65EA9">
        <w:rPr>
          <w:szCs w:val="24"/>
        </w:rPr>
        <w:t>в целях идентификации и обслуживания</w:t>
      </w:r>
      <w:r w:rsidR="00CD2548" w:rsidRPr="00D65EA9">
        <w:rPr>
          <w:szCs w:val="24"/>
        </w:rPr>
        <w:t xml:space="preserve"> в Банке</w:t>
      </w:r>
      <w:r w:rsidR="000E6286" w:rsidRPr="00D65EA9">
        <w:rPr>
          <w:szCs w:val="24"/>
        </w:rPr>
        <w:t>:</w:t>
      </w:r>
    </w:p>
    <w:p w14:paraId="4A9F51B9" w14:textId="77777777" w:rsidR="000E6286" w:rsidRPr="00D65EA9" w:rsidRDefault="000E6286" w:rsidP="00870CD5">
      <w:pPr>
        <w:pStyle w:val="a3"/>
        <w:numPr>
          <w:ilvl w:val="0"/>
          <w:numId w:val="9"/>
        </w:numPr>
        <w:spacing w:after="0" w:line="240" w:lineRule="auto"/>
        <w:ind w:right="2"/>
        <w:rPr>
          <w:szCs w:val="24"/>
        </w:rPr>
      </w:pPr>
      <w:r w:rsidRPr="00D65EA9">
        <w:rPr>
          <w:szCs w:val="24"/>
        </w:rPr>
        <w:t>личное указание клиента;</w:t>
      </w:r>
    </w:p>
    <w:p w14:paraId="5D0EF448" w14:textId="77777777" w:rsidR="00E73E3F" w:rsidRPr="00D65EA9" w:rsidRDefault="00E73E3F" w:rsidP="00870CD5">
      <w:pPr>
        <w:pStyle w:val="a3"/>
        <w:numPr>
          <w:ilvl w:val="0"/>
          <w:numId w:val="9"/>
        </w:numPr>
        <w:spacing w:after="0" w:line="240" w:lineRule="auto"/>
        <w:ind w:right="2"/>
        <w:rPr>
          <w:szCs w:val="24"/>
        </w:rPr>
      </w:pPr>
      <w:r w:rsidRPr="00D65EA9">
        <w:rPr>
          <w:szCs w:val="24"/>
        </w:rPr>
        <w:t>место рождения в США;</w:t>
      </w:r>
    </w:p>
    <w:p w14:paraId="21BE5256" w14:textId="77777777" w:rsidR="00E73E3F" w:rsidRPr="00D65EA9" w:rsidRDefault="00CD2548" w:rsidP="00870CD5">
      <w:pPr>
        <w:pStyle w:val="a3"/>
        <w:numPr>
          <w:ilvl w:val="0"/>
          <w:numId w:val="9"/>
        </w:numPr>
        <w:spacing w:after="0" w:line="240" w:lineRule="auto"/>
        <w:ind w:right="2"/>
        <w:rPr>
          <w:szCs w:val="24"/>
        </w:rPr>
      </w:pPr>
      <w:r w:rsidRPr="00D65EA9">
        <w:rPr>
          <w:szCs w:val="24"/>
        </w:rPr>
        <w:t>в качестве адреса регистрации и/или почтового адреса указан адрес на территории США (в том числе почтовый ящик в США);</w:t>
      </w:r>
    </w:p>
    <w:p w14:paraId="1D698177" w14:textId="77777777" w:rsidR="00E73E3F" w:rsidRPr="00D65EA9" w:rsidRDefault="00CD2548" w:rsidP="00870CD5">
      <w:pPr>
        <w:pStyle w:val="a3"/>
        <w:numPr>
          <w:ilvl w:val="0"/>
          <w:numId w:val="9"/>
        </w:numPr>
        <w:spacing w:after="0" w:line="240" w:lineRule="auto"/>
        <w:ind w:right="2"/>
        <w:rPr>
          <w:szCs w:val="24"/>
        </w:rPr>
      </w:pPr>
      <w:r w:rsidRPr="00D65EA9">
        <w:rPr>
          <w:szCs w:val="24"/>
        </w:rPr>
        <w:t>контактный номер телефона/факса клиента содержит код США (код страны +1);</w:t>
      </w:r>
    </w:p>
    <w:p w14:paraId="73986BFF" w14:textId="77777777" w:rsidR="00E73E3F" w:rsidRPr="00D65EA9" w:rsidRDefault="00CD2548" w:rsidP="00870CD5">
      <w:pPr>
        <w:pStyle w:val="a3"/>
        <w:numPr>
          <w:ilvl w:val="0"/>
          <w:numId w:val="9"/>
        </w:numPr>
        <w:spacing w:after="0" w:line="240" w:lineRule="auto"/>
        <w:ind w:right="2"/>
        <w:rPr>
          <w:szCs w:val="24"/>
        </w:rPr>
      </w:pPr>
      <w:r w:rsidRPr="00D65EA9">
        <w:rPr>
          <w:szCs w:val="24"/>
        </w:rPr>
        <w:t xml:space="preserve">наличие </w:t>
      </w:r>
      <w:r w:rsidR="00E73E3F" w:rsidRPr="00D65EA9">
        <w:rPr>
          <w:szCs w:val="24"/>
        </w:rPr>
        <w:t>постоянно действующи</w:t>
      </w:r>
      <w:r w:rsidRPr="00D65EA9">
        <w:rPr>
          <w:szCs w:val="24"/>
        </w:rPr>
        <w:t>х</w:t>
      </w:r>
      <w:r w:rsidR="00E73E3F" w:rsidRPr="00D65EA9">
        <w:rPr>
          <w:szCs w:val="24"/>
        </w:rPr>
        <w:t xml:space="preserve"> инструкци</w:t>
      </w:r>
      <w:r w:rsidRPr="00D65EA9">
        <w:rPr>
          <w:szCs w:val="24"/>
        </w:rPr>
        <w:t>й</w:t>
      </w:r>
      <w:r w:rsidR="00E73E3F" w:rsidRPr="00D65EA9">
        <w:rPr>
          <w:szCs w:val="24"/>
        </w:rPr>
        <w:t xml:space="preserve"> </w:t>
      </w:r>
      <w:r w:rsidRPr="00D65EA9">
        <w:rPr>
          <w:szCs w:val="24"/>
        </w:rPr>
        <w:t xml:space="preserve">клиента </w:t>
      </w:r>
      <w:r w:rsidR="00E73E3F" w:rsidRPr="00D65EA9">
        <w:rPr>
          <w:szCs w:val="24"/>
        </w:rPr>
        <w:t xml:space="preserve">по перечислению денежных средств на счет, открытый </w:t>
      </w:r>
      <w:r w:rsidRPr="00D65EA9">
        <w:rPr>
          <w:szCs w:val="24"/>
        </w:rPr>
        <w:t>в финансовых институтах США</w:t>
      </w:r>
      <w:r w:rsidR="00E73E3F" w:rsidRPr="00D65EA9">
        <w:rPr>
          <w:szCs w:val="24"/>
        </w:rPr>
        <w:t>;</w:t>
      </w:r>
    </w:p>
    <w:p w14:paraId="39741790" w14:textId="77777777" w:rsidR="00E73E3F" w:rsidRPr="00D65EA9" w:rsidRDefault="005F4B8E" w:rsidP="00870CD5">
      <w:pPr>
        <w:pStyle w:val="a3"/>
        <w:numPr>
          <w:ilvl w:val="0"/>
          <w:numId w:val="9"/>
        </w:numPr>
        <w:spacing w:after="0" w:line="240" w:lineRule="auto"/>
        <w:ind w:right="2"/>
        <w:rPr>
          <w:szCs w:val="24"/>
        </w:rPr>
      </w:pPr>
      <w:r w:rsidRPr="00D65EA9">
        <w:rPr>
          <w:szCs w:val="24"/>
        </w:rPr>
        <w:t xml:space="preserve">наличие </w:t>
      </w:r>
      <w:r w:rsidR="00E73E3F" w:rsidRPr="00D65EA9">
        <w:rPr>
          <w:szCs w:val="24"/>
        </w:rPr>
        <w:t>доверенност</w:t>
      </w:r>
      <w:r w:rsidRPr="00D65EA9">
        <w:rPr>
          <w:szCs w:val="24"/>
        </w:rPr>
        <w:t>и</w:t>
      </w:r>
      <w:r w:rsidR="00E73E3F" w:rsidRPr="00D65EA9">
        <w:rPr>
          <w:szCs w:val="24"/>
        </w:rPr>
        <w:t>, выданн</w:t>
      </w:r>
      <w:r w:rsidRPr="00D65EA9">
        <w:rPr>
          <w:szCs w:val="24"/>
        </w:rPr>
        <w:t>ой клиентом</w:t>
      </w:r>
      <w:r w:rsidR="00E73E3F" w:rsidRPr="00D65EA9">
        <w:rPr>
          <w:szCs w:val="24"/>
        </w:rPr>
        <w:t xml:space="preserve"> лицу с адресом в США</w:t>
      </w:r>
      <w:r w:rsidR="00A82424" w:rsidRPr="00D65EA9">
        <w:rPr>
          <w:szCs w:val="24"/>
        </w:rPr>
        <w:t xml:space="preserve"> и/или </w:t>
      </w:r>
      <w:r w:rsidR="00E73E3F" w:rsidRPr="00D65EA9">
        <w:rPr>
          <w:szCs w:val="24"/>
        </w:rPr>
        <w:t>право подписи предоставлено лицу с адресом в США;</w:t>
      </w:r>
    </w:p>
    <w:p w14:paraId="35B8C7F4" w14:textId="77777777" w:rsidR="00E73E3F" w:rsidRPr="00D65EA9" w:rsidRDefault="00E73E3F" w:rsidP="00870CD5">
      <w:pPr>
        <w:spacing w:after="0" w:line="240" w:lineRule="auto"/>
        <w:ind w:right="2" w:firstLine="0"/>
        <w:contextualSpacing/>
      </w:pPr>
    </w:p>
    <w:p w14:paraId="0CDBB0EA" w14:textId="6C76AA85" w:rsidR="00A82424" w:rsidRPr="00D65EA9" w:rsidRDefault="00A82424" w:rsidP="00870CD5">
      <w:pPr>
        <w:spacing w:after="0" w:line="240" w:lineRule="auto"/>
        <w:ind w:right="-8" w:firstLine="708"/>
        <w:contextualSpacing/>
        <w:rPr>
          <w:szCs w:val="24"/>
        </w:rPr>
      </w:pPr>
      <w:r w:rsidRPr="00D65EA9">
        <w:rPr>
          <w:szCs w:val="24"/>
        </w:rPr>
        <w:t xml:space="preserve">Физическое лицо / индивидуальный предприниматель не может быть отнесено к категории </w:t>
      </w:r>
      <w:r w:rsidR="00F63296" w:rsidRPr="00D65EA9">
        <w:rPr>
          <w:szCs w:val="24"/>
        </w:rPr>
        <w:t>–налогоплательщика США</w:t>
      </w:r>
      <w:r w:rsidRPr="00D65EA9">
        <w:rPr>
          <w:szCs w:val="24"/>
        </w:rPr>
        <w:t xml:space="preserve"> в том случае, если физическое лицо /  индивидуальный предприниматель является гражданином Российской Федерации и не имеет одновременно с гражданством Российской Федерации второго гражданства в иностранном государстве (за исключением гражданства государства - члена Таможенного союза), вида на жительство в иностранном государстве (разрешения на постоянное пребывание в иностранном государстве) или не проживает постоянно (долгосрочно пребывает) в иностранном государстве.</w:t>
      </w:r>
    </w:p>
    <w:p w14:paraId="631EA93E" w14:textId="77777777" w:rsidR="00870CD5" w:rsidRPr="00D65EA9" w:rsidRDefault="00870CD5" w:rsidP="00870CD5">
      <w:pPr>
        <w:spacing w:after="0" w:line="240" w:lineRule="auto"/>
        <w:ind w:right="-8" w:firstLine="708"/>
        <w:contextualSpacing/>
        <w:rPr>
          <w:szCs w:val="24"/>
        </w:rPr>
      </w:pPr>
    </w:p>
    <w:p w14:paraId="2A4F9E1F" w14:textId="22435CA0" w:rsidR="00413DD4" w:rsidRPr="00D65EA9" w:rsidRDefault="00413DD4" w:rsidP="00870CD5">
      <w:pPr>
        <w:numPr>
          <w:ilvl w:val="0"/>
          <w:numId w:val="1"/>
        </w:numPr>
        <w:spacing w:after="0" w:line="240" w:lineRule="auto"/>
        <w:ind w:left="6" w:right="0" w:firstLine="709"/>
        <w:contextualSpacing/>
        <w:rPr>
          <w:b/>
          <w:szCs w:val="24"/>
        </w:rPr>
      </w:pPr>
      <w:r w:rsidRPr="00D65EA9">
        <w:rPr>
          <w:b/>
          <w:szCs w:val="24"/>
        </w:rPr>
        <w:t>Критерии отнесения клиентов – юридических лиц к категории налогоплательщиков США:</w:t>
      </w:r>
    </w:p>
    <w:p w14:paraId="4B71C2A2" w14:textId="5116D87F" w:rsidR="005F4B8E" w:rsidRPr="00D65EA9" w:rsidRDefault="000D0185" w:rsidP="009F6D35">
      <w:pPr>
        <w:numPr>
          <w:ilvl w:val="1"/>
          <w:numId w:val="1"/>
        </w:numPr>
        <w:tabs>
          <w:tab w:val="left" w:pos="1418"/>
        </w:tabs>
        <w:spacing w:before="120"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Юридическое лицо зарегистрировано/учреждено на территории США и при этом не относится к лицам, </w:t>
      </w:r>
      <w:r w:rsidR="005F4B8E" w:rsidRPr="00D65EA9">
        <w:rPr>
          <w:szCs w:val="24"/>
        </w:rPr>
        <w:t>на которые не распространяется действие Закона США от 18.03.2010</w:t>
      </w:r>
      <w:r w:rsidR="0009337E" w:rsidRPr="00D65EA9">
        <w:rPr>
          <w:szCs w:val="24"/>
        </w:rPr>
        <w:t xml:space="preserve"> </w:t>
      </w:r>
      <w:r w:rsidR="005F4B8E" w:rsidRPr="00D65EA9">
        <w:rPr>
          <w:szCs w:val="24"/>
        </w:rPr>
        <w:t xml:space="preserve">г. «О налогообложении иностранных счетов» (FATCA), список которых приведен в Приложении 1 к настоящему Документу; </w:t>
      </w:r>
    </w:p>
    <w:p w14:paraId="6644A39B" w14:textId="77777777" w:rsidR="005F4B8E" w:rsidRPr="00D65EA9" w:rsidRDefault="005F4B8E" w:rsidP="007B618C">
      <w:pPr>
        <w:numPr>
          <w:ilvl w:val="1"/>
          <w:numId w:val="1"/>
        </w:numPr>
        <w:spacing w:before="120" w:after="0" w:line="240" w:lineRule="auto"/>
        <w:ind w:left="0" w:right="0" w:firstLine="709"/>
        <w:rPr>
          <w:rFonts w:eastAsiaTheme="minorEastAsia"/>
          <w:color w:val="auto"/>
          <w:szCs w:val="24"/>
        </w:rPr>
      </w:pPr>
      <w:r w:rsidRPr="00D65EA9">
        <w:rPr>
          <w:rFonts w:eastAsiaTheme="minorEastAsia"/>
          <w:color w:val="auto"/>
          <w:szCs w:val="24"/>
        </w:rPr>
        <w:t>Юридическое лицо зарегистрировано/учреждено за пределами территории США и при этом юридическое лицо не является финансовым институтом для целей FATCA и в состав контролирующих лиц (бенефициаров)</w:t>
      </w:r>
      <w:r w:rsidR="00C43018" w:rsidRPr="00D65EA9">
        <w:rPr>
          <w:rStyle w:val="ab"/>
          <w:rFonts w:eastAsiaTheme="minorEastAsia"/>
          <w:color w:val="auto"/>
          <w:szCs w:val="24"/>
        </w:rPr>
        <w:footnoteReference w:id="1"/>
      </w:r>
      <w:r w:rsidRPr="00D65EA9">
        <w:rPr>
          <w:rFonts w:eastAsiaTheme="minorEastAsia"/>
          <w:color w:val="auto"/>
          <w:szCs w:val="24"/>
        </w:rPr>
        <w:t xml:space="preserve"> юридического лица, которым прямо или косвенно принадлежит более 10% доли в юридическом лице, входит одно из следующих лиц:  </w:t>
      </w:r>
    </w:p>
    <w:p w14:paraId="72455A95" w14:textId="77777777" w:rsidR="005F4B8E" w:rsidRPr="00D65EA9" w:rsidRDefault="005F4B8E" w:rsidP="00870CD5">
      <w:pPr>
        <w:spacing w:after="0" w:line="240" w:lineRule="auto"/>
        <w:ind w:right="-8" w:firstLine="709"/>
        <w:contextualSpacing/>
        <w:rPr>
          <w:rFonts w:eastAsiaTheme="minorEastAsia"/>
          <w:color w:val="auto"/>
          <w:szCs w:val="24"/>
        </w:rPr>
      </w:pPr>
      <w:r w:rsidRPr="00D65EA9">
        <w:rPr>
          <w:rFonts w:eastAsiaTheme="minorEastAsia"/>
          <w:color w:val="auto"/>
          <w:szCs w:val="24"/>
        </w:rPr>
        <w:t xml:space="preserve">− физическое лицо, относящееся к категории клиента – налогоплательщика США, в соответствии с критериями, указанными в </w:t>
      </w:r>
      <w:proofErr w:type="spellStart"/>
      <w:r w:rsidRPr="00D65EA9">
        <w:rPr>
          <w:rFonts w:eastAsiaTheme="minorEastAsia"/>
          <w:color w:val="auto"/>
          <w:szCs w:val="24"/>
        </w:rPr>
        <w:t>п.п</w:t>
      </w:r>
      <w:proofErr w:type="spellEnd"/>
      <w:r w:rsidRPr="00D65EA9">
        <w:rPr>
          <w:rFonts w:eastAsiaTheme="minorEastAsia"/>
          <w:color w:val="auto"/>
          <w:szCs w:val="24"/>
        </w:rPr>
        <w:t xml:space="preserve">. 1.1. </w:t>
      </w:r>
      <w:proofErr w:type="gramStart"/>
      <w:r w:rsidRPr="00D65EA9">
        <w:rPr>
          <w:rFonts w:eastAsiaTheme="minorEastAsia"/>
          <w:color w:val="auto"/>
          <w:szCs w:val="24"/>
        </w:rPr>
        <w:t>–  1.3</w:t>
      </w:r>
      <w:proofErr w:type="gramEnd"/>
      <w:r w:rsidRPr="00D65EA9">
        <w:rPr>
          <w:rFonts w:eastAsiaTheme="minorEastAsia"/>
          <w:color w:val="auto"/>
          <w:szCs w:val="24"/>
        </w:rPr>
        <w:t xml:space="preserve">. настоящего Документа; </w:t>
      </w:r>
    </w:p>
    <w:p w14:paraId="69B0E7D5" w14:textId="77777777" w:rsidR="005F4B8E" w:rsidRPr="00D65EA9" w:rsidRDefault="005F4B8E" w:rsidP="00870CD5">
      <w:pPr>
        <w:spacing w:after="0" w:line="240" w:lineRule="auto"/>
        <w:ind w:right="-8" w:firstLine="709"/>
        <w:contextualSpacing/>
        <w:rPr>
          <w:rFonts w:eastAsiaTheme="minorEastAsia"/>
          <w:color w:val="auto"/>
          <w:szCs w:val="24"/>
        </w:rPr>
      </w:pPr>
      <w:r w:rsidRPr="00D65EA9">
        <w:rPr>
          <w:rFonts w:eastAsiaTheme="minorEastAsia"/>
          <w:color w:val="auto"/>
          <w:szCs w:val="24"/>
        </w:rPr>
        <w:t xml:space="preserve">− юридическое лицо, которое зарегистрировано/учреждено на территории США, за исключением юридических лиц, на которые не распространяется действие Закона США от 18.03.2010 г. «О налогообложении иностранных счетов» (FATCA), список которых приведен в Приложении 1 к настоящему Документу; </w:t>
      </w:r>
    </w:p>
    <w:p w14:paraId="42BAD130" w14:textId="77777777" w:rsidR="005F4B8E" w:rsidRPr="00D65EA9" w:rsidRDefault="005F4B8E" w:rsidP="00870CD5">
      <w:pPr>
        <w:spacing w:after="0" w:line="240" w:lineRule="auto"/>
        <w:ind w:right="-8" w:firstLine="709"/>
        <w:contextualSpacing/>
        <w:rPr>
          <w:rFonts w:eastAsiaTheme="minorEastAsia"/>
          <w:color w:val="auto"/>
          <w:szCs w:val="24"/>
        </w:rPr>
      </w:pPr>
      <w:r w:rsidRPr="00D65EA9">
        <w:rPr>
          <w:rFonts w:eastAsiaTheme="minorEastAsia"/>
          <w:color w:val="auto"/>
          <w:szCs w:val="24"/>
        </w:rPr>
        <w:t>и более 50% (по отдельности или в совокупности) совокупного дохода такого юридического лица за предшествующий год составляют «пассивные доходы</w:t>
      </w:r>
      <w:proofErr w:type="gramStart"/>
      <w:r w:rsidRPr="00D65EA9">
        <w:rPr>
          <w:rFonts w:eastAsiaTheme="minorEastAsia"/>
          <w:color w:val="auto"/>
          <w:szCs w:val="24"/>
        </w:rPr>
        <w:t>»</w:t>
      </w:r>
      <w:r w:rsidR="00C43018" w:rsidRPr="00D65EA9">
        <w:rPr>
          <w:rStyle w:val="ab"/>
          <w:rFonts w:eastAsiaTheme="minorEastAsia"/>
          <w:color w:val="auto"/>
          <w:szCs w:val="24"/>
        </w:rPr>
        <w:footnoteReference w:id="2"/>
      </w:r>
      <w:r w:rsidRPr="00D65EA9">
        <w:rPr>
          <w:rFonts w:eastAsiaTheme="minorEastAsia"/>
          <w:color w:val="auto"/>
          <w:szCs w:val="24"/>
        </w:rPr>
        <w:t xml:space="preserve"> ,</w:t>
      </w:r>
      <w:proofErr w:type="gramEnd"/>
      <w:r w:rsidRPr="00D65EA9">
        <w:rPr>
          <w:rFonts w:eastAsiaTheme="minorEastAsia"/>
          <w:color w:val="auto"/>
          <w:szCs w:val="24"/>
        </w:rPr>
        <w:t xml:space="preserve">  и более 50% (по отдельности или в совокупности) от средневзвешенной величины активов юридического лица (на конец квартала), составляют активы, приносящие такой доход. </w:t>
      </w:r>
    </w:p>
    <w:p w14:paraId="2B6D37AF" w14:textId="369107E8" w:rsidR="005F4B8E" w:rsidRPr="00D65EA9" w:rsidRDefault="005F4B8E" w:rsidP="007B618C">
      <w:pPr>
        <w:numPr>
          <w:ilvl w:val="1"/>
          <w:numId w:val="1"/>
        </w:numPr>
        <w:spacing w:before="120"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Дополнительные признаки, которые могут свидетельствовать о принадлежности </w:t>
      </w:r>
      <w:r w:rsidR="00F63296" w:rsidRPr="00D65EA9">
        <w:rPr>
          <w:szCs w:val="24"/>
        </w:rPr>
        <w:t xml:space="preserve">юридического </w:t>
      </w:r>
      <w:proofErr w:type="gramStart"/>
      <w:r w:rsidR="00F63296" w:rsidRPr="00D65EA9">
        <w:rPr>
          <w:szCs w:val="24"/>
        </w:rPr>
        <w:t xml:space="preserve">лица </w:t>
      </w:r>
      <w:r w:rsidRPr="00D65EA9">
        <w:rPr>
          <w:szCs w:val="24"/>
        </w:rPr>
        <w:t xml:space="preserve"> к</w:t>
      </w:r>
      <w:proofErr w:type="gramEnd"/>
      <w:r w:rsidRPr="00D65EA9">
        <w:rPr>
          <w:szCs w:val="24"/>
        </w:rPr>
        <w:t xml:space="preserve"> категории налогоплательщиков США и могут быть установлены Банком на основе сведений, представленных в целях идентификации и обслуживания в Банке:</w:t>
      </w:r>
    </w:p>
    <w:p w14:paraId="17FE01D4" w14:textId="77777777" w:rsidR="005F4B8E" w:rsidRPr="00D65EA9" w:rsidRDefault="005F4B8E" w:rsidP="00870CD5">
      <w:pPr>
        <w:pStyle w:val="a3"/>
        <w:numPr>
          <w:ilvl w:val="0"/>
          <w:numId w:val="26"/>
        </w:numPr>
        <w:spacing w:after="0" w:line="240" w:lineRule="auto"/>
        <w:ind w:right="-8"/>
        <w:rPr>
          <w:rFonts w:eastAsia="Calibri"/>
          <w:szCs w:val="24"/>
        </w:rPr>
      </w:pPr>
      <w:r w:rsidRPr="00D65EA9">
        <w:rPr>
          <w:rFonts w:eastAsia="Calibri"/>
          <w:szCs w:val="24"/>
        </w:rPr>
        <w:t>Организация имеет текущий американский резидентский адрес или американский почтовый адрес, включая абонентский адрес в США или адрес «до востребования»</w:t>
      </w:r>
    </w:p>
    <w:p w14:paraId="0698DFE9" w14:textId="77777777" w:rsidR="005F4B8E" w:rsidRPr="00D65EA9" w:rsidRDefault="002D5927" w:rsidP="00870CD5">
      <w:pPr>
        <w:pStyle w:val="a3"/>
        <w:numPr>
          <w:ilvl w:val="0"/>
          <w:numId w:val="26"/>
        </w:numPr>
        <w:spacing w:after="0" w:line="240" w:lineRule="auto"/>
        <w:ind w:right="-8"/>
        <w:rPr>
          <w:rFonts w:eastAsia="Calibri"/>
          <w:szCs w:val="24"/>
        </w:rPr>
      </w:pPr>
      <w:r w:rsidRPr="00D65EA9">
        <w:rPr>
          <w:rFonts w:eastAsia="Calibri"/>
          <w:szCs w:val="24"/>
        </w:rPr>
        <w:t>Организация</w:t>
      </w:r>
      <w:r w:rsidR="005F4B8E" w:rsidRPr="00D65EA9">
        <w:rPr>
          <w:rFonts w:eastAsia="Calibri"/>
          <w:szCs w:val="24"/>
        </w:rPr>
        <w:t xml:space="preserve"> </w:t>
      </w:r>
      <w:r w:rsidR="005F4B8E" w:rsidRPr="00D65EA9">
        <w:rPr>
          <w:rFonts w:eastAsia="Calibri"/>
          <w:szCs w:val="24"/>
        </w:rPr>
        <w:tab/>
        <w:t xml:space="preserve">имеет </w:t>
      </w:r>
      <w:r w:rsidR="005F4B8E" w:rsidRPr="00D65EA9">
        <w:rPr>
          <w:rFonts w:eastAsia="Calibri"/>
          <w:szCs w:val="24"/>
        </w:rPr>
        <w:tab/>
        <w:t>единственный телефонный номер, зарегистрированный в США (тел. код для США «+1»)</w:t>
      </w:r>
    </w:p>
    <w:p w14:paraId="31D2A278" w14:textId="77777777" w:rsidR="005F4B8E" w:rsidRPr="00D65EA9" w:rsidRDefault="005F4B8E" w:rsidP="00870CD5">
      <w:pPr>
        <w:pStyle w:val="a3"/>
        <w:numPr>
          <w:ilvl w:val="0"/>
          <w:numId w:val="26"/>
        </w:numPr>
        <w:spacing w:after="0" w:line="240" w:lineRule="auto"/>
        <w:ind w:right="-8"/>
        <w:rPr>
          <w:rFonts w:eastAsia="Calibri"/>
          <w:szCs w:val="24"/>
        </w:rPr>
      </w:pPr>
      <w:r w:rsidRPr="00D65EA9">
        <w:rPr>
          <w:rFonts w:eastAsia="Calibri"/>
          <w:szCs w:val="24"/>
        </w:rPr>
        <w:t>Организация выдавала доверенность на право управления счетом или предоставляла право подписи лицу, имеющему адрес в США (адрес постоянного проживания / почтовый адрес / адрес «до востребования»)</w:t>
      </w:r>
      <w:r w:rsidR="00870CD5" w:rsidRPr="00D65EA9">
        <w:rPr>
          <w:rFonts w:eastAsia="Calibri"/>
          <w:szCs w:val="24"/>
        </w:rPr>
        <w:t>.</w:t>
      </w:r>
    </w:p>
    <w:p w14:paraId="78AFB19A" w14:textId="77777777" w:rsidR="00870CD5" w:rsidRPr="00D65EA9" w:rsidRDefault="00870CD5" w:rsidP="00870CD5">
      <w:pPr>
        <w:pStyle w:val="a3"/>
        <w:spacing w:after="0" w:line="240" w:lineRule="auto"/>
        <w:ind w:left="1074" w:right="-8" w:firstLine="0"/>
        <w:rPr>
          <w:rFonts w:eastAsia="Calibri"/>
          <w:szCs w:val="24"/>
        </w:rPr>
      </w:pPr>
    </w:p>
    <w:p w14:paraId="073D6340" w14:textId="74E91BDB" w:rsidR="00C43018" w:rsidRPr="00D65EA9" w:rsidRDefault="00870CD5" w:rsidP="00870CD5">
      <w:pPr>
        <w:pStyle w:val="ConsPlusNormal"/>
        <w:ind w:firstLine="540"/>
        <w:contextualSpacing/>
        <w:jc w:val="both"/>
      </w:pPr>
      <w:r w:rsidRPr="00D65EA9">
        <w:t>Юридическое лицо, не может быть отнесено к категории налогоплательщика</w:t>
      </w:r>
      <w:r w:rsidR="009F6D35" w:rsidRPr="00D65EA9">
        <w:t xml:space="preserve"> США </w:t>
      </w:r>
      <w:r w:rsidRPr="00D65EA9">
        <w:t xml:space="preserve"> в случае создания его  в соответствии с законодательством Российской Федерации, более 90 процентов </w:t>
      </w:r>
      <w:r w:rsidRPr="00D65EA9">
        <w:lastRenderedPageBreak/>
        <w:t>акций (долей) уставного капитала его прямо или косвенно контролируются Российской Федерацией и (или) гражданами Российской Федерации, в том числе имеющими одновременно с гражданством Российской Федерации гражданство государства - члена Таможенного союза (за исключением физических лиц, имеющих одновременно с гражданством Российской Федерации гражданство иностранного государства (за исключением гражданства государства - члена Таможенного союза), имеющих вид на жительство в иностранном государстве.</w:t>
      </w:r>
    </w:p>
    <w:p w14:paraId="59153CEE" w14:textId="77777777" w:rsidR="00870CD5" w:rsidRPr="00D65EA9" w:rsidRDefault="00870CD5" w:rsidP="00870CD5">
      <w:pPr>
        <w:pStyle w:val="ConsPlusNormal"/>
        <w:ind w:firstLine="540"/>
        <w:contextualSpacing/>
        <w:jc w:val="both"/>
      </w:pPr>
    </w:p>
    <w:p w14:paraId="1ECF5685" w14:textId="77777777" w:rsidR="00E3204F" w:rsidRPr="00D65EA9" w:rsidRDefault="00C43018" w:rsidP="00870CD5">
      <w:pPr>
        <w:spacing w:after="0" w:line="240" w:lineRule="auto"/>
        <w:ind w:right="0" w:firstLine="709"/>
        <w:contextualSpacing/>
        <w:rPr>
          <w:szCs w:val="24"/>
        </w:rPr>
      </w:pPr>
      <w:r w:rsidRPr="00D65EA9">
        <w:rPr>
          <w:szCs w:val="24"/>
        </w:rPr>
        <w:t xml:space="preserve">3. </w:t>
      </w:r>
      <w:r w:rsidRPr="00D65EA9">
        <w:rPr>
          <w:rFonts w:eastAsia="Arial"/>
          <w:szCs w:val="24"/>
        </w:rPr>
        <w:t xml:space="preserve"> </w:t>
      </w:r>
      <w:r w:rsidRPr="00D65EA9">
        <w:rPr>
          <w:szCs w:val="24"/>
        </w:rPr>
        <w:t xml:space="preserve">В отношении клиентов, являющихся </w:t>
      </w:r>
      <w:r w:rsidRPr="00D65EA9">
        <w:rPr>
          <w:rFonts w:eastAsia="Calibri"/>
          <w:szCs w:val="24"/>
        </w:rPr>
        <w:t>финансовыми</w:t>
      </w:r>
      <w:r w:rsidRPr="00D65EA9">
        <w:rPr>
          <w:b/>
          <w:szCs w:val="24"/>
        </w:rPr>
        <w:t xml:space="preserve"> </w:t>
      </w:r>
      <w:r w:rsidRPr="00D65EA9">
        <w:rPr>
          <w:rFonts w:eastAsia="Calibri"/>
          <w:szCs w:val="24"/>
        </w:rPr>
        <w:t>институтами</w:t>
      </w:r>
      <w:r w:rsidRPr="00D65EA9">
        <w:rPr>
          <w:b/>
          <w:szCs w:val="24"/>
          <w:vertAlign w:val="superscript"/>
        </w:rPr>
        <w:footnoteReference w:id="3"/>
      </w:r>
      <w:r w:rsidRPr="00D65EA9">
        <w:rPr>
          <w:b/>
          <w:szCs w:val="24"/>
        </w:rPr>
        <w:t xml:space="preserve"> </w:t>
      </w:r>
      <w:r w:rsidRPr="00D65EA9">
        <w:rPr>
          <w:szCs w:val="24"/>
        </w:rPr>
        <w:t>в целях FATCA, Банку необходимо установить номер регистрации в Налоговом управлении США (</w:t>
      </w:r>
      <w:proofErr w:type="spellStart"/>
      <w:r w:rsidRPr="00D65EA9">
        <w:rPr>
          <w:szCs w:val="24"/>
        </w:rPr>
        <w:t>the</w:t>
      </w:r>
      <w:proofErr w:type="spellEnd"/>
      <w:r w:rsidRPr="00D65EA9">
        <w:rPr>
          <w:szCs w:val="24"/>
        </w:rPr>
        <w:t xml:space="preserve"> </w:t>
      </w:r>
      <w:proofErr w:type="spellStart"/>
      <w:r w:rsidRPr="00D65EA9">
        <w:rPr>
          <w:szCs w:val="24"/>
        </w:rPr>
        <w:t>Global</w:t>
      </w:r>
      <w:proofErr w:type="spellEnd"/>
      <w:r w:rsidRPr="00D65EA9">
        <w:rPr>
          <w:szCs w:val="24"/>
        </w:rPr>
        <w:t xml:space="preserve"> </w:t>
      </w:r>
      <w:proofErr w:type="spellStart"/>
      <w:r w:rsidRPr="00D65EA9">
        <w:rPr>
          <w:szCs w:val="24"/>
        </w:rPr>
        <w:t>Intermediary</w:t>
      </w:r>
      <w:proofErr w:type="spellEnd"/>
      <w:r w:rsidRPr="00D65EA9">
        <w:rPr>
          <w:szCs w:val="24"/>
        </w:rPr>
        <w:t xml:space="preserve"> </w:t>
      </w:r>
      <w:proofErr w:type="spellStart"/>
      <w:r w:rsidRPr="00D65EA9">
        <w:rPr>
          <w:szCs w:val="24"/>
        </w:rPr>
        <w:t>Identification</w:t>
      </w:r>
      <w:proofErr w:type="spellEnd"/>
      <w:r w:rsidRPr="00D65EA9">
        <w:rPr>
          <w:szCs w:val="24"/>
        </w:rPr>
        <w:t xml:space="preserve"> </w:t>
      </w:r>
      <w:proofErr w:type="spellStart"/>
      <w:r w:rsidRPr="00D65EA9">
        <w:rPr>
          <w:szCs w:val="24"/>
        </w:rPr>
        <w:t>Number</w:t>
      </w:r>
      <w:proofErr w:type="spellEnd"/>
      <w:r w:rsidRPr="00D65EA9">
        <w:rPr>
          <w:color w:val="111111"/>
          <w:szCs w:val="24"/>
        </w:rPr>
        <w:t xml:space="preserve">, </w:t>
      </w:r>
      <w:r w:rsidR="002D5927" w:rsidRPr="00D65EA9">
        <w:rPr>
          <w:color w:val="111111"/>
          <w:szCs w:val="24"/>
        </w:rPr>
        <w:t>далее – GIIN</w:t>
      </w:r>
      <w:r w:rsidRPr="00D65EA9">
        <w:rPr>
          <w:color w:val="111111"/>
          <w:szCs w:val="24"/>
        </w:rPr>
        <w:t xml:space="preserve">) или </w:t>
      </w:r>
      <w:r w:rsidRPr="00D65EA9">
        <w:rPr>
          <w:szCs w:val="24"/>
        </w:rPr>
        <w:t xml:space="preserve">выявить причину отсутствия </w:t>
      </w:r>
      <w:r w:rsidRPr="00D65EA9">
        <w:rPr>
          <w:color w:val="111111"/>
          <w:szCs w:val="24"/>
        </w:rPr>
        <w:t>GIIN.</w:t>
      </w:r>
      <w:r w:rsidRPr="00D65EA9">
        <w:rPr>
          <w:szCs w:val="24"/>
        </w:rPr>
        <w:t xml:space="preserve"> </w:t>
      </w:r>
    </w:p>
    <w:p w14:paraId="133700EA" w14:textId="77777777" w:rsidR="00870CD5" w:rsidRPr="00D65EA9" w:rsidRDefault="00870CD5" w:rsidP="00870CD5">
      <w:pPr>
        <w:spacing w:after="0" w:line="240" w:lineRule="auto"/>
        <w:ind w:right="0" w:firstLine="709"/>
        <w:contextualSpacing/>
        <w:rPr>
          <w:szCs w:val="24"/>
        </w:rPr>
      </w:pPr>
    </w:p>
    <w:p w14:paraId="402AC742" w14:textId="57A7AD2F" w:rsidR="00C43018" w:rsidRPr="00D65EA9" w:rsidRDefault="00C43018" w:rsidP="00870CD5">
      <w:pPr>
        <w:spacing w:after="0" w:line="240" w:lineRule="auto"/>
        <w:ind w:right="0" w:firstLine="709"/>
        <w:contextualSpacing/>
        <w:rPr>
          <w:szCs w:val="24"/>
        </w:rPr>
      </w:pPr>
      <w:r w:rsidRPr="00D65EA9">
        <w:rPr>
          <w:szCs w:val="24"/>
        </w:rPr>
        <w:t xml:space="preserve">4. Окончательное решение об </w:t>
      </w:r>
      <w:proofErr w:type="gramStart"/>
      <w:r w:rsidRPr="00D65EA9">
        <w:rPr>
          <w:szCs w:val="24"/>
        </w:rPr>
        <w:t>отнесении  к</w:t>
      </w:r>
      <w:proofErr w:type="gramEnd"/>
      <w:r w:rsidRPr="00D65EA9">
        <w:rPr>
          <w:szCs w:val="24"/>
        </w:rPr>
        <w:t xml:space="preserve"> категории  налогоплательщика США принимается Банком на основании анализа всех </w:t>
      </w:r>
      <w:r w:rsidR="009F6D35" w:rsidRPr="00D65EA9">
        <w:rPr>
          <w:szCs w:val="24"/>
        </w:rPr>
        <w:t xml:space="preserve">полученных </w:t>
      </w:r>
      <w:r w:rsidRPr="00D65EA9">
        <w:rPr>
          <w:szCs w:val="24"/>
        </w:rPr>
        <w:t>документов и информации</w:t>
      </w:r>
      <w:r w:rsidR="009F6D35" w:rsidRPr="00D65EA9">
        <w:rPr>
          <w:szCs w:val="24"/>
        </w:rPr>
        <w:t>.</w:t>
      </w:r>
      <w:r w:rsidRPr="00D65EA9">
        <w:rPr>
          <w:szCs w:val="24"/>
        </w:rPr>
        <w:t xml:space="preserve">. </w:t>
      </w:r>
    </w:p>
    <w:p w14:paraId="442AF5EF" w14:textId="77777777" w:rsidR="00500F6B" w:rsidRPr="00D65EA9" w:rsidRDefault="00500F6B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3F29AC30" w14:textId="77777777" w:rsidR="00870CD5" w:rsidRPr="00D65EA9" w:rsidRDefault="00870CD5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3CBF8986" w14:textId="77777777" w:rsidR="00870CD5" w:rsidRPr="00D65EA9" w:rsidRDefault="00870CD5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1B0BBC96" w14:textId="77777777" w:rsidR="00870CD5" w:rsidRPr="00D65EA9" w:rsidRDefault="00870CD5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2C4E9757" w14:textId="77777777" w:rsidR="00870CD5" w:rsidRPr="00D65EA9" w:rsidRDefault="00870CD5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5E10BE11" w14:textId="77777777" w:rsidR="0036683B" w:rsidRPr="00D65EA9" w:rsidRDefault="0036683B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43588DBC" w14:textId="77777777" w:rsidR="0036683B" w:rsidRPr="00D65EA9" w:rsidRDefault="0036683B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37422CEE" w14:textId="77777777" w:rsidR="0036683B" w:rsidRPr="00D65EA9" w:rsidRDefault="0036683B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00C272D1" w14:textId="77777777" w:rsidR="0036683B" w:rsidRPr="00D65EA9" w:rsidRDefault="0036683B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3EBB72EC" w14:textId="77777777" w:rsidR="0036683B" w:rsidRPr="00D65EA9" w:rsidRDefault="0036683B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3834AE03" w14:textId="77777777" w:rsidR="0036683B" w:rsidRPr="00D65EA9" w:rsidRDefault="0036683B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58048C12" w14:textId="77777777" w:rsidR="0036683B" w:rsidRPr="00D65EA9" w:rsidRDefault="0036683B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417E665B" w14:textId="77777777" w:rsidR="007D4A33" w:rsidRPr="00D65EA9" w:rsidRDefault="007D4A33" w:rsidP="0056406D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Theme="minorEastAsia"/>
          <w:b/>
          <w:bCs/>
          <w:sz w:val="23"/>
          <w:szCs w:val="23"/>
        </w:rPr>
      </w:pPr>
      <w:r w:rsidRPr="00D65EA9">
        <w:rPr>
          <w:rFonts w:eastAsiaTheme="minorEastAsia"/>
          <w:b/>
          <w:bCs/>
          <w:sz w:val="23"/>
          <w:szCs w:val="23"/>
        </w:rPr>
        <w:br w:type="page"/>
      </w:r>
    </w:p>
    <w:p w14:paraId="29298667" w14:textId="77777777" w:rsidR="0036683B" w:rsidRPr="00D65EA9" w:rsidRDefault="0009337E" w:rsidP="0056406D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Theme="minorEastAsia"/>
          <w:b/>
          <w:bCs/>
          <w:sz w:val="23"/>
          <w:szCs w:val="23"/>
        </w:rPr>
      </w:pPr>
      <w:r w:rsidRPr="00D65EA9">
        <w:rPr>
          <w:rFonts w:eastAsiaTheme="minorEastAsia"/>
          <w:b/>
          <w:bCs/>
          <w:sz w:val="23"/>
          <w:szCs w:val="23"/>
        </w:rPr>
        <w:lastRenderedPageBreak/>
        <w:t>Приложение 1</w:t>
      </w:r>
    </w:p>
    <w:p w14:paraId="3915F2FD" w14:textId="77777777" w:rsidR="0009337E" w:rsidRPr="00D65EA9" w:rsidRDefault="0009337E" w:rsidP="00022BB2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b/>
          <w:bCs/>
          <w:sz w:val="23"/>
          <w:szCs w:val="23"/>
        </w:rPr>
      </w:pPr>
    </w:p>
    <w:p w14:paraId="1A179806" w14:textId="77777777" w:rsidR="00ED5B02" w:rsidRPr="00D65EA9" w:rsidRDefault="0036683B" w:rsidP="0056406D">
      <w:pPr>
        <w:spacing w:after="0" w:line="240" w:lineRule="auto"/>
        <w:ind w:right="418" w:firstLine="567"/>
        <w:contextualSpacing/>
        <w:jc w:val="center"/>
        <w:rPr>
          <w:b/>
          <w:szCs w:val="24"/>
        </w:rPr>
      </w:pPr>
      <w:r w:rsidRPr="00D65EA9">
        <w:rPr>
          <w:b/>
          <w:szCs w:val="24"/>
        </w:rPr>
        <w:t>К</w:t>
      </w:r>
      <w:r w:rsidR="00ED5B02" w:rsidRPr="00D65EA9">
        <w:rPr>
          <w:b/>
          <w:szCs w:val="24"/>
        </w:rPr>
        <w:t xml:space="preserve">атегории юридических лиц, </w:t>
      </w:r>
    </w:p>
    <w:p w14:paraId="162FD5EE" w14:textId="77777777" w:rsidR="00ED5B02" w:rsidRPr="00D65EA9" w:rsidRDefault="00ED5B02" w:rsidP="0056406D">
      <w:pPr>
        <w:spacing w:after="0" w:line="240" w:lineRule="auto"/>
        <w:ind w:right="418" w:firstLine="567"/>
        <w:contextualSpacing/>
        <w:jc w:val="center"/>
        <w:rPr>
          <w:b/>
          <w:szCs w:val="24"/>
        </w:rPr>
      </w:pPr>
      <w:r w:rsidRPr="00D65EA9">
        <w:rPr>
          <w:b/>
          <w:szCs w:val="24"/>
        </w:rPr>
        <w:t>исключенных из состава специально указанных налоговых резидентов США</w:t>
      </w:r>
    </w:p>
    <w:p w14:paraId="442EC455" w14:textId="77777777" w:rsidR="00ED5B02" w:rsidRPr="00D65EA9" w:rsidRDefault="00ED5B02" w:rsidP="00ED5B02">
      <w:pPr>
        <w:spacing w:after="0" w:line="240" w:lineRule="auto"/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22"/>
      </w:tblGrid>
      <w:tr w:rsidR="00ED5B02" w:rsidRPr="00D65EA9" w14:paraId="3D8904E3" w14:textId="77777777" w:rsidTr="00C05850">
        <w:tc>
          <w:tcPr>
            <w:tcW w:w="426" w:type="dxa"/>
          </w:tcPr>
          <w:p w14:paraId="512EC58C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0A5D6F71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>Американские корпорации, акции которых регулярно котируются на одной или более организованной бирже ценных бумаг.</w:t>
            </w:r>
          </w:p>
        </w:tc>
      </w:tr>
      <w:tr w:rsidR="00ED5B02" w:rsidRPr="00D65EA9" w14:paraId="600CB8CD" w14:textId="77777777" w:rsidTr="00C05850">
        <w:tc>
          <w:tcPr>
            <w:tcW w:w="426" w:type="dxa"/>
          </w:tcPr>
          <w:p w14:paraId="4C8D5334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64BDCA74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 xml:space="preserve">Американские компании или корпорации, </w:t>
            </w:r>
            <w:proofErr w:type="gramStart"/>
            <w:r w:rsidRPr="00D65EA9">
              <w:rPr>
                <w:szCs w:val="24"/>
              </w:rPr>
              <w:t>входящие  в</w:t>
            </w:r>
            <w:proofErr w:type="gramEnd"/>
            <w:r w:rsidRPr="00D65EA9">
              <w:rPr>
                <w:szCs w:val="24"/>
              </w:rPr>
              <w:t xml:space="preserve"> расширенную аффилированную группу компаний и/или корпораций, акции которых регулярно котируются на одной или более организованной бирже ценных бумаг.</w:t>
            </w:r>
          </w:p>
        </w:tc>
      </w:tr>
      <w:tr w:rsidR="00ED5B02" w:rsidRPr="00D65EA9" w14:paraId="28719218" w14:textId="77777777" w:rsidTr="00C05850">
        <w:tc>
          <w:tcPr>
            <w:tcW w:w="426" w:type="dxa"/>
          </w:tcPr>
          <w:p w14:paraId="631A898E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0C1BFACF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>Американские организации, освобожденные от налогообложения согласно секции 501 (а), а также пенсионные фонды, определение которых установлено секцией 7701(а) (37) НК США.</w:t>
            </w:r>
          </w:p>
        </w:tc>
      </w:tr>
      <w:tr w:rsidR="00ED5B02" w:rsidRPr="00D65EA9" w14:paraId="03D61D0F" w14:textId="77777777" w:rsidTr="00C05850">
        <w:tc>
          <w:tcPr>
            <w:tcW w:w="426" w:type="dxa"/>
          </w:tcPr>
          <w:p w14:paraId="27FE73B8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67AA1AE1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>Государственные учреждения или агентства США и их дочерние организации.</w:t>
            </w:r>
          </w:p>
        </w:tc>
      </w:tr>
      <w:tr w:rsidR="00ED5B02" w:rsidRPr="00D65EA9" w14:paraId="607D726E" w14:textId="77777777" w:rsidTr="00C05850">
        <w:tc>
          <w:tcPr>
            <w:tcW w:w="426" w:type="dxa"/>
          </w:tcPr>
          <w:p w14:paraId="48256A77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5E7242E7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 xml:space="preserve">Любой штат США, Округ Колумбия, подконтрольные США территории (Американское Самоа, Территория Гуам, Северные Марианские о-ва, </w:t>
            </w:r>
            <w:proofErr w:type="spellStart"/>
            <w:r w:rsidRPr="00D65EA9">
              <w:rPr>
                <w:szCs w:val="24"/>
              </w:rPr>
              <w:t>Пуэрто</w:t>
            </w:r>
            <w:proofErr w:type="spellEnd"/>
            <w:r w:rsidRPr="00D65EA9">
              <w:rPr>
                <w:szCs w:val="24"/>
              </w:rPr>
              <w:t xml:space="preserve"> </w:t>
            </w:r>
            <w:proofErr w:type="spellStart"/>
            <w:r w:rsidRPr="00D65EA9">
              <w:rPr>
                <w:szCs w:val="24"/>
              </w:rPr>
              <w:t>Рико</w:t>
            </w:r>
            <w:proofErr w:type="spellEnd"/>
            <w:r w:rsidRPr="00D65EA9">
              <w:rPr>
                <w:szCs w:val="24"/>
              </w:rPr>
              <w:t xml:space="preserve">, Американские Виргинские о-ва), любое политическое отделение данных субъектов или любое </w:t>
            </w:r>
            <w:r w:rsidR="002D5927" w:rsidRPr="00D65EA9">
              <w:rPr>
                <w:szCs w:val="24"/>
              </w:rPr>
              <w:t>агентство,</w:t>
            </w:r>
            <w:r w:rsidRPr="00D65EA9">
              <w:rPr>
                <w:szCs w:val="24"/>
              </w:rPr>
              <w:t xml:space="preserve"> или другое образование, которое ими создано или полностью им принадлежит.</w:t>
            </w:r>
          </w:p>
        </w:tc>
      </w:tr>
      <w:tr w:rsidR="00ED5B02" w:rsidRPr="00D65EA9" w14:paraId="3214D637" w14:textId="77777777" w:rsidTr="00C05850">
        <w:tc>
          <w:tcPr>
            <w:tcW w:w="426" w:type="dxa"/>
          </w:tcPr>
          <w:p w14:paraId="479BCFFC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3F86D136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>Американские банки в соответствии с определением секции 581 Налогового Кодекса США (банковские и трастовые организации, существенную часть бизнеса которых составляет прием депозитов, выдача кредитов или предоставление фидуциарных услуг и которые имеют соответствующую лицензию).</w:t>
            </w:r>
          </w:p>
        </w:tc>
      </w:tr>
      <w:tr w:rsidR="00ED5B02" w:rsidRPr="00D65EA9" w14:paraId="0A058596" w14:textId="77777777" w:rsidTr="00C05850">
        <w:tc>
          <w:tcPr>
            <w:tcW w:w="426" w:type="dxa"/>
          </w:tcPr>
          <w:p w14:paraId="646ACE66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707D17C3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>Американские инвестиционные фонды недвижимости, определенные в соответствии с секцией 856 Налогового Кодекса США.</w:t>
            </w:r>
          </w:p>
        </w:tc>
      </w:tr>
      <w:tr w:rsidR="00ED5B02" w:rsidRPr="00D65EA9" w14:paraId="4D071476" w14:textId="77777777" w:rsidTr="00C05850">
        <w:tc>
          <w:tcPr>
            <w:tcW w:w="426" w:type="dxa"/>
          </w:tcPr>
          <w:p w14:paraId="10E274C8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5AA6D35A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>Американские регулируемые инвестиционные компании, соответствующие определению секции 851 Налогового Кодекса США или любые компании, зарегистрированные в Комиссии США по ценным бумагам и биржам.</w:t>
            </w:r>
          </w:p>
        </w:tc>
      </w:tr>
      <w:tr w:rsidR="00ED5B02" w:rsidRPr="00D65EA9" w14:paraId="22861553" w14:textId="77777777" w:rsidTr="00C05850">
        <w:tc>
          <w:tcPr>
            <w:tcW w:w="426" w:type="dxa"/>
          </w:tcPr>
          <w:p w14:paraId="23A8DADF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1FE154FC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>Американские инвестиционные фонды (</w:t>
            </w:r>
            <w:proofErr w:type="spellStart"/>
            <w:r w:rsidRPr="00D65EA9">
              <w:rPr>
                <w:szCs w:val="24"/>
              </w:rPr>
              <w:t>common</w:t>
            </w:r>
            <w:proofErr w:type="spellEnd"/>
            <w:r w:rsidRPr="00D65EA9">
              <w:rPr>
                <w:szCs w:val="24"/>
              </w:rPr>
              <w:t xml:space="preserve"> </w:t>
            </w:r>
            <w:proofErr w:type="spellStart"/>
            <w:r w:rsidRPr="00D65EA9">
              <w:rPr>
                <w:szCs w:val="24"/>
              </w:rPr>
              <w:t>trust</w:t>
            </w:r>
            <w:proofErr w:type="spellEnd"/>
            <w:r w:rsidRPr="00D65EA9">
              <w:rPr>
                <w:szCs w:val="24"/>
              </w:rPr>
              <w:t xml:space="preserve"> </w:t>
            </w:r>
            <w:proofErr w:type="spellStart"/>
            <w:r w:rsidRPr="00D65EA9">
              <w:rPr>
                <w:szCs w:val="24"/>
              </w:rPr>
              <w:t>fund</w:t>
            </w:r>
            <w:proofErr w:type="spellEnd"/>
            <w:r w:rsidRPr="00D65EA9">
              <w:rPr>
                <w:szCs w:val="24"/>
              </w:rPr>
              <w:t>) в соответствии с определением, содержащимся в секции 584 Налогового Кодекса США.</w:t>
            </w:r>
          </w:p>
        </w:tc>
      </w:tr>
      <w:tr w:rsidR="00ED5B02" w:rsidRPr="00D65EA9" w14:paraId="627BC9E3" w14:textId="77777777" w:rsidTr="00C05850">
        <w:tc>
          <w:tcPr>
            <w:tcW w:w="426" w:type="dxa"/>
          </w:tcPr>
          <w:p w14:paraId="0CECD976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755F4234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>Американские трасты, освобожденные от налогообложения согласно секции 664 (с) (положения данной секции касаются трастов, созданных для благотворительных целей).</w:t>
            </w:r>
          </w:p>
        </w:tc>
      </w:tr>
      <w:tr w:rsidR="00ED5B02" w:rsidRPr="00D65EA9" w14:paraId="48B54BF0" w14:textId="77777777" w:rsidTr="00C05850">
        <w:tc>
          <w:tcPr>
            <w:tcW w:w="426" w:type="dxa"/>
          </w:tcPr>
          <w:p w14:paraId="41FCF330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200A5D98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 xml:space="preserve">Американские дилеры ценными бумагами, товарами биржевой торговли, или </w:t>
            </w:r>
            <w:proofErr w:type="spellStart"/>
            <w:r w:rsidRPr="00D65EA9">
              <w:rPr>
                <w:szCs w:val="24"/>
              </w:rPr>
              <w:t>деривативами</w:t>
            </w:r>
            <w:proofErr w:type="spellEnd"/>
            <w:r w:rsidRPr="00D65EA9">
              <w:rPr>
                <w:szCs w:val="24"/>
              </w:rPr>
              <w:t xml:space="preserve"> (включая такие инструменты как фьючерсы, форварды X опционы), зарегистрированные в качестве дилера в соответствии с требованиями законодательства США</w:t>
            </w:r>
          </w:p>
        </w:tc>
      </w:tr>
      <w:tr w:rsidR="00ED5B02" w:rsidRPr="00D65EA9" w14:paraId="6D1B1474" w14:textId="77777777" w:rsidTr="00C05850">
        <w:tc>
          <w:tcPr>
            <w:tcW w:w="426" w:type="dxa"/>
          </w:tcPr>
          <w:p w14:paraId="6E2F071C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1D309D9B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>Американские брокеры, имеющие соответствующую лицензию.</w:t>
            </w:r>
          </w:p>
        </w:tc>
      </w:tr>
      <w:tr w:rsidR="00ED5B02" w:rsidRPr="00D65EA9" w14:paraId="763DE58F" w14:textId="77777777" w:rsidTr="00C05850">
        <w:tc>
          <w:tcPr>
            <w:tcW w:w="426" w:type="dxa"/>
          </w:tcPr>
          <w:p w14:paraId="42EC9B7A" w14:textId="77777777" w:rsidR="00ED5B02" w:rsidRPr="00D65EA9" w:rsidRDefault="00ED5B02" w:rsidP="00ED5B02">
            <w:pPr>
              <w:numPr>
                <w:ilvl w:val="0"/>
                <w:numId w:val="19"/>
              </w:numPr>
              <w:spacing w:after="0" w:line="240" w:lineRule="auto"/>
              <w:ind w:left="357" w:right="0" w:hanging="357"/>
              <w:contextualSpacing/>
              <w:jc w:val="left"/>
              <w:rPr>
                <w:szCs w:val="24"/>
              </w:rPr>
            </w:pPr>
          </w:p>
        </w:tc>
        <w:tc>
          <w:tcPr>
            <w:tcW w:w="9922" w:type="dxa"/>
          </w:tcPr>
          <w:p w14:paraId="0A15828C" w14:textId="77777777" w:rsidR="00ED5B02" w:rsidRPr="00D65EA9" w:rsidRDefault="00ED5B02" w:rsidP="007B618C">
            <w:pPr>
              <w:spacing w:after="0" w:line="240" w:lineRule="auto"/>
              <w:ind w:right="317"/>
              <w:contextualSpacing/>
              <w:rPr>
                <w:szCs w:val="24"/>
              </w:rPr>
            </w:pPr>
            <w:r w:rsidRPr="00D65EA9">
              <w:rPr>
                <w:szCs w:val="24"/>
              </w:rPr>
              <w:t>Американские трасты, освобожденные от налогообложения согласно секции 403 (b) Налогового Кодекса США (трасты, созданные для сотрудников организации, удовлетворяющие определенным критериям) и секции 457 (g) трасты, созданные для выплаты компенсаций сотрудникам государственных организаций США.</w:t>
            </w:r>
          </w:p>
        </w:tc>
      </w:tr>
    </w:tbl>
    <w:p w14:paraId="3F9CA1B3" w14:textId="77777777" w:rsidR="00DA2D4A" w:rsidRPr="00D65EA9" w:rsidRDefault="00DA2D4A" w:rsidP="0009337E">
      <w:pPr>
        <w:spacing w:after="0" w:line="240" w:lineRule="auto"/>
        <w:ind w:right="-149"/>
        <w:contextualSpacing/>
        <w:jc w:val="center"/>
        <w:rPr>
          <w:b/>
          <w:szCs w:val="24"/>
        </w:rPr>
      </w:pPr>
    </w:p>
    <w:p w14:paraId="76F42884" w14:textId="77777777" w:rsidR="0056406D" w:rsidRPr="00D65EA9" w:rsidRDefault="0056406D" w:rsidP="00DA2D4A">
      <w:pPr>
        <w:spacing w:after="0" w:line="240" w:lineRule="auto"/>
        <w:ind w:right="-149"/>
        <w:contextualSpacing/>
        <w:jc w:val="right"/>
        <w:rPr>
          <w:b/>
          <w:szCs w:val="24"/>
        </w:rPr>
      </w:pPr>
      <w:r w:rsidRPr="00D65EA9">
        <w:rPr>
          <w:b/>
          <w:szCs w:val="24"/>
        </w:rPr>
        <w:br w:type="page"/>
      </w:r>
    </w:p>
    <w:p w14:paraId="0FC33DA7" w14:textId="77777777" w:rsidR="0009337E" w:rsidRPr="00D65EA9" w:rsidRDefault="0009337E" w:rsidP="007B618C">
      <w:pPr>
        <w:spacing w:after="0" w:line="240" w:lineRule="auto"/>
        <w:ind w:right="-149"/>
        <w:contextualSpacing/>
        <w:jc w:val="right"/>
        <w:rPr>
          <w:b/>
          <w:szCs w:val="24"/>
        </w:rPr>
      </w:pPr>
      <w:r w:rsidRPr="00D65EA9">
        <w:rPr>
          <w:b/>
          <w:szCs w:val="24"/>
        </w:rPr>
        <w:lastRenderedPageBreak/>
        <w:t>Приложение 2</w:t>
      </w:r>
    </w:p>
    <w:p w14:paraId="5020E025" w14:textId="77777777" w:rsidR="0009337E" w:rsidRPr="00D65EA9" w:rsidRDefault="0009337E" w:rsidP="0009337E">
      <w:pPr>
        <w:spacing w:after="0" w:line="240" w:lineRule="auto"/>
        <w:contextualSpacing/>
        <w:jc w:val="center"/>
        <w:rPr>
          <w:b/>
          <w:szCs w:val="24"/>
        </w:rPr>
      </w:pPr>
    </w:p>
    <w:p w14:paraId="1843D94A" w14:textId="77777777" w:rsidR="00ED5B02" w:rsidRPr="00D65EA9" w:rsidRDefault="00ED5B02" w:rsidP="0009337E">
      <w:pPr>
        <w:spacing w:after="0" w:line="240" w:lineRule="auto"/>
        <w:contextualSpacing/>
        <w:jc w:val="center"/>
        <w:rPr>
          <w:b/>
          <w:szCs w:val="24"/>
        </w:rPr>
      </w:pPr>
      <w:r w:rsidRPr="00D65EA9">
        <w:rPr>
          <w:b/>
          <w:szCs w:val="24"/>
        </w:rPr>
        <w:t>Порядок определения контролирующих лиц компаний и</w:t>
      </w:r>
      <w:r w:rsidRPr="00D65EA9">
        <w:t xml:space="preserve"> </w:t>
      </w:r>
      <w:r w:rsidRPr="00D65EA9">
        <w:rPr>
          <w:b/>
          <w:szCs w:val="24"/>
        </w:rPr>
        <w:t xml:space="preserve">определения доли </w:t>
      </w:r>
      <w:r w:rsidR="0009337E" w:rsidRPr="00D65EA9">
        <w:rPr>
          <w:b/>
          <w:szCs w:val="24"/>
        </w:rPr>
        <w:t xml:space="preserve">  </w:t>
      </w:r>
      <w:r w:rsidRPr="00D65EA9">
        <w:rPr>
          <w:b/>
          <w:szCs w:val="24"/>
        </w:rPr>
        <w:t>косвенного владения юридическим лицом</w:t>
      </w:r>
    </w:p>
    <w:p w14:paraId="7DF3AA4B" w14:textId="77777777" w:rsidR="00ED5B02" w:rsidRPr="00D65EA9" w:rsidRDefault="00ED5B02" w:rsidP="00ED5B02">
      <w:pPr>
        <w:spacing w:after="0" w:line="240" w:lineRule="auto"/>
        <w:ind w:firstLine="567"/>
        <w:contextualSpacing/>
        <w:rPr>
          <w:b/>
          <w:szCs w:val="24"/>
        </w:rPr>
      </w:pPr>
    </w:p>
    <w:p w14:paraId="07D90B37" w14:textId="77777777" w:rsidR="00ED5B02" w:rsidRPr="00D65EA9" w:rsidRDefault="00ED5B02" w:rsidP="00ED5B02">
      <w:pPr>
        <w:pStyle w:val="a3"/>
        <w:numPr>
          <w:ilvl w:val="0"/>
          <w:numId w:val="22"/>
        </w:numPr>
        <w:spacing w:after="0" w:line="240" w:lineRule="auto"/>
        <w:ind w:right="0"/>
        <w:jc w:val="center"/>
        <w:rPr>
          <w:szCs w:val="24"/>
        </w:rPr>
      </w:pPr>
      <w:r w:rsidRPr="00D65EA9">
        <w:rPr>
          <w:b/>
          <w:szCs w:val="24"/>
        </w:rPr>
        <w:t>Контролирующее лицо компании</w:t>
      </w:r>
    </w:p>
    <w:p w14:paraId="2C8FFC26" w14:textId="77777777" w:rsidR="00ED5B02" w:rsidRPr="00D65EA9" w:rsidRDefault="00ED5B02" w:rsidP="00ED5B02">
      <w:pPr>
        <w:spacing w:after="0" w:line="240" w:lineRule="auto"/>
        <w:ind w:firstLine="567"/>
        <w:contextualSpacing/>
        <w:rPr>
          <w:szCs w:val="24"/>
        </w:rPr>
      </w:pPr>
    </w:p>
    <w:p w14:paraId="2AC8F601" w14:textId="77777777" w:rsidR="00ED5B02" w:rsidRPr="00D65EA9" w:rsidRDefault="00ED5B02" w:rsidP="00ED5B02">
      <w:pPr>
        <w:pStyle w:val="a3"/>
        <w:numPr>
          <w:ilvl w:val="1"/>
          <w:numId w:val="23"/>
        </w:numPr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В отношении </w:t>
      </w:r>
      <w:r w:rsidRPr="00D65EA9">
        <w:rPr>
          <w:b/>
          <w:szCs w:val="24"/>
        </w:rPr>
        <w:t>корпорации</w:t>
      </w:r>
      <w:r w:rsidRPr="00D65EA9">
        <w:rPr>
          <w:szCs w:val="24"/>
        </w:rPr>
        <w:t xml:space="preserve"> – лицо, которое прямо или косвенно владеет более 10% акций данной корпорации (по количеству голосов или стоимости).</w:t>
      </w:r>
    </w:p>
    <w:p w14:paraId="7A9240AD" w14:textId="77777777" w:rsidR="00ED5B02" w:rsidRPr="00D65EA9" w:rsidRDefault="00ED5B02" w:rsidP="00ED5B02">
      <w:pPr>
        <w:pStyle w:val="a3"/>
        <w:numPr>
          <w:ilvl w:val="1"/>
          <w:numId w:val="23"/>
        </w:numPr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В отношении </w:t>
      </w:r>
      <w:r w:rsidRPr="00D65EA9">
        <w:rPr>
          <w:b/>
          <w:szCs w:val="24"/>
        </w:rPr>
        <w:t>партнерства</w:t>
      </w:r>
      <w:r w:rsidRPr="00D65EA9">
        <w:rPr>
          <w:szCs w:val="24"/>
        </w:rPr>
        <w:t xml:space="preserve"> – лицо, которое прямо или косвенно владеет более 10% долей в партнерстве.</w:t>
      </w:r>
    </w:p>
    <w:p w14:paraId="57C83584" w14:textId="77777777" w:rsidR="00ED5B02" w:rsidRPr="00D65EA9" w:rsidRDefault="00ED5B02" w:rsidP="00ED5B02">
      <w:pPr>
        <w:pStyle w:val="a3"/>
        <w:numPr>
          <w:ilvl w:val="1"/>
          <w:numId w:val="23"/>
        </w:numPr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В отношении </w:t>
      </w:r>
      <w:r w:rsidRPr="00D65EA9">
        <w:rPr>
          <w:b/>
          <w:szCs w:val="24"/>
        </w:rPr>
        <w:t>траста</w:t>
      </w:r>
      <w:r w:rsidRPr="00D65EA9">
        <w:rPr>
          <w:szCs w:val="24"/>
        </w:rPr>
        <w:t xml:space="preserve"> – лицо, прямо или косвенно владеющее более 10% долей траста. Лицо будет считаться </w:t>
      </w:r>
      <w:proofErr w:type="spellStart"/>
      <w:r w:rsidRPr="00D65EA9">
        <w:rPr>
          <w:szCs w:val="24"/>
        </w:rPr>
        <w:t>бенефициарным</w:t>
      </w:r>
      <w:proofErr w:type="spellEnd"/>
      <w:r w:rsidRPr="00D65EA9">
        <w:rPr>
          <w:szCs w:val="24"/>
        </w:rPr>
        <w:t xml:space="preserve"> собственником доли траста, если такое лицо имеет право получить прямо, косвенно или через номинального получателя обязательные выплаты из траста (</w:t>
      </w:r>
      <w:proofErr w:type="spellStart"/>
      <w:r w:rsidRPr="00D65EA9">
        <w:rPr>
          <w:szCs w:val="24"/>
        </w:rPr>
        <w:t>mandatory</w:t>
      </w:r>
      <w:proofErr w:type="spellEnd"/>
      <w:r w:rsidRPr="00D65EA9">
        <w:rPr>
          <w:szCs w:val="24"/>
        </w:rPr>
        <w:t xml:space="preserve"> </w:t>
      </w:r>
      <w:proofErr w:type="spellStart"/>
      <w:r w:rsidRPr="00D65EA9">
        <w:rPr>
          <w:szCs w:val="24"/>
        </w:rPr>
        <w:t>distributions</w:t>
      </w:r>
      <w:proofErr w:type="spellEnd"/>
      <w:r w:rsidRPr="00D65EA9">
        <w:rPr>
          <w:szCs w:val="24"/>
        </w:rPr>
        <w:t>), т.е. выплаты, размер которых определяется на основании договора траста, а также дискреционные выплаты из траста, т.е. выплаты, совершенные по усмотрению управляющего (</w:t>
      </w:r>
      <w:proofErr w:type="spellStart"/>
      <w:r w:rsidRPr="00D65EA9">
        <w:rPr>
          <w:szCs w:val="24"/>
        </w:rPr>
        <w:t>discretionary</w:t>
      </w:r>
      <w:proofErr w:type="spellEnd"/>
      <w:r w:rsidRPr="00D65EA9">
        <w:rPr>
          <w:szCs w:val="24"/>
        </w:rPr>
        <w:t xml:space="preserve"> </w:t>
      </w:r>
      <w:proofErr w:type="spellStart"/>
      <w:r w:rsidRPr="00D65EA9">
        <w:rPr>
          <w:szCs w:val="24"/>
        </w:rPr>
        <w:t>distribution</w:t>
      </w:r>
      <w:proofErr w:type="spellEnd"/>
      <w:r w:rsidRPr="00D65EA9">
        <w:rPr>
          <w:szCs w:val="24"/>
        </w:rPr>
        <w:t>).</w:t>
      </w:r>
    </w:p>
    <w:p w14:paraId="36B9EEC8" w14:textId="77777777" w:rsidR="00ED5B02" w:rsidRPr="00D65EA9" w:rsidRDefault="00ED5B02" w:rsidP="00ED5B02">
      <w:pPr>
        <w:pStyle w:val="a3"/>
        <w:tabs>
          <w:tab w:val="left" w:pos="709"/>
        </w:tabs>
        <w:spacing w:after="0" w:line="240" w:lineRule="auto"/>
        <w:ind w:left="0" w:firstLine="709"/>
        <w:rPr>
          <w:szCs w:val="24"/>
        </w:rPr>
      </w:pPr>
      <w:r w:rsidRPr="00D65EA9">
        <w:rPr>
          <w:szCs w:val="24"/>
        </w:rPr>
        <w:t>В отношении трастов 10%-</w:t>
      </w:r>
      <w:proofErr w:type="spellStart"/>
      <w:r w:rsidRPr="00D65EA9">
        <w:rPr>
          <w:szCs w:val="24"/>
        </w:rPr>
        <w:t>ая</w:t>
      </w:r>
      <w:proofErr w:type="spellEnd"/>
      <w:r w:rsidRPr="00D65EA9">
        <w:rPr>
          <w:szCs w:val="24"/>
        </w:rPr>
        <w:t xml:space="preserve"> доля будет определяться как:</w:t>
      </w:r>
    </w:p>
    <w:p w14:paraId="160A42BB" w14:textId="77777777" w:rsidR="00ED5B02" w:rsidRPr="00D65EA9" w:rsidRDefault="00ED5B02" w:rsidP="00ED5B02">
      <w:pPr>
        <w:pStyle w:val="a3"/>
        <w:numPr>
          <w:ilvl w:val="0"/>
          <w:numId w:val="20"/>
        </w:numPr>
        <w:spacing w:after="0" w:line="240" w:lineRule="auto"/>
        <w:ind w:left="1134" w:right="0" w:hanging="425"/>
        <w:rPr>
          <w:szCs w:val="24"/>
        </w:rPr>
      </w:pPr>
      <w:r w:rsidRPr="00D65EA9">
        <w:rPr>
          <w:szCs w:val="24"/>
        </w:rPr>
        <w:t>в отношении дискреционных выплат – если справедливая рыночная стоимость (</w:t>
      </w:r>
      <w:proofErr w:type="spellStart"/>
      <w:r w:rsidRPr="00D65EA9">
        <w:rPr>
          <w:szCs w:val="24"/>
        </w:rPr>
        <w:t>fair</w:t>
      </w:r>
      <w:proofErr w:type="spellEnd"/>
      <w:r w:rsidRPr="00D65EA9">
        <w:rPr>
          <w:szCs w:val="24"/>
        </w:rPr>
        <w:t xml:space="preserve"> </w:t>
      </w:r>
      <w:proofErr w:type="spellStart"/>
      <w:r w:rsidRPr="00D65EA9">
        <w:rPr>
          <w:szCs w:val="24"/>
        </w:rPr>
        <w:t>market</w:t>
      </w:r>
      <w:proofErr w:type="spellEnd"/>
      <w:r w:rsidRPr="00D65EA9">
        <w:rPr>
          <w:szCs w:val="24"/>
        </w:rPr>
        <w:t xml:space="preserve"> </w:t>
      </w:r>
      <w:proofErr w:type="spellStart"/>
      <w:r w:rsidRPr="00D65EA9">
        <w:rPr>
          <w:szCs w:val="24"/>
        </w:rPr>
        <w:t>value</w:t>
      </w:r>
      <w:proofErr w:type="spellEnd"/>
      <w:r w:rsidRPr="00D65EA9">
        <w:rPr>
          <w:szCs w:val="24"/>
        </w:rPr>
        <w:t>) выплаты (денег или имущества) превышает 10% стоимости либо всех выплат, совершенных в текущем году, либо стоимости активов, принадлежащих трасту на конец года, в котором совершена выплата;</w:t>
      </w:r>
    </w:p>
    <w:p w14:paraId="1127D7F3" w14:textId="77777777" w:rsidR="003A77EF" w:rsidRPr="00D65EA9" w:rsidRDefault="00ED5B02" w:rsidP="00290DAB">
      <w:pPr>
        <w:pStyle w:val="a3"/>
        <w:numPr>
          <w:ilvl w:val="0"/>
          <w:numId w:val="20"/>
        </w:numPr>
        <w:spacing w:after="0" w:line="240" w:lineRule="auto"/>
        <w:ind w:left="1134" w:right="0" w:hanging="425"/>
        <w:rPr>
          <w:szCs w:val="24"/>
        </w:rPr>
      </w:pPr>
      <w:r w:rsidRPr="00D65EA9">
        <w:rPr>
          <w:szCs w:val="24"/>
        </w:rPr>
        <w:t>в отношении обязательных выплат – если размер выплаты превышает 10% стоимости активов траста.</w:t>
      </w:r>
    </w:p>
    <w:p w14:paraId="7C4BD46C" w14:textId="40943E5F" w:rsidR="003A77EF" w:rsidRPr="00D65EA9" w:rsidRDefault="003A77EF" w:rsidP="00290DAB">
      <w:pPr>
        <w:pStyle w:val="a3"/>
        <w:numPr>
          <w:ilvl w:val="1"/>
          <w:numId w:val="23"/>
        </w:numPr>
        <w:spacing w:after="0" w:line="240" w:lineRule="auto"/>
        <w:ind w:left="0" w:right="0" w:firstLine="709"/>
        <w:rPr>
          <w:szCs w:val="24"/>
        </w:rPr>
      </w:pPr>
      <w:r w:rsidRPr="00D65EA9">
        <w:t>Контролирующие лица (</w:t>
      </w:r>
      <w:proofErr w:type="spellStart"/>
      <w:r w:rsidRPr="00D65EA9">
        <w:t>бенефициарные</w:t>
      </w:r>
      <w:proofErr w:type="spellEnd"/>
      <w:r w:rsidRPr="00D65EA9">
        <w:t xml:space="preserve"> владельцы) клиента – юридического лица определяются на дату проведения идентификации.</w:t>
      </w:r>
    </w:p>
    <w:p w14:paraId="22006202" w14:textId="77777777" w:rsidR="00ED5B02" w:rsidRPr="00D65EA9" w:rsidRDefault="00ED5B02" w:rsidP="00ED5B02">
      <w:pPr>
        <w:tabs>
          <w:tab w:val="left" w:pos="709"/>
        </w:tabs>
        <w:spacing w:after="0" w:line="240" w:lineRule="auto"/>
        <w:contextualSpacing/>
        <w:rPr>
          <w:szCs w:val="24"/>
        </w:rPr>
      </w:pPr>
    </w:p>
    <w:p w14:paraId="03BCBE79" w14:textId="77777777" w:rsidR="00ED5B02" w:rsidRPr="00D65EA9" w:rsidRDefault="00ED5B02" w:rsidP="00ED5B02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right="0" w:firstLine="0"/>
        <w:jc w:val="center"/>
        <w:rPr>
          <w:b/>
          <w:szCs w:val="24"/>
        </w:rPr>
      </w:pPr>
      <w:r w:rsidRPr="00D65EA9">
        <w:rPr>
          <w:b/>
          <w:szCs w:val="24"/>
        </w:rPr>
        <w:t>Порядок определения доли косвенного владения юридическим лицом</w:t>
      </w:r>
    </w:p>
    <w:p w14:paraId="7AE3CFF7" w14:textId="77777777" w:rsidR="00ED5B02" w:rsidRPr="00D65EA9" w:rsidRDefault="00ED5B02" w:rsidP="00ED5B02">
      <w:pPr>
        <w:tabs>
          <w:tab w:val="left" w:pos="709"/>
        </w:tabs>
        <w:spacing w:after="0" w:line="240" w:lineRule="auto"/>
        <w:ind w:firstLine="567"/>
        <w:contextualSpacing/>
        <w:jc w:val="center"/>
        <w:rPr>
          <w:b/>
          <w:szCs w:val="24"/>
        </w:rPr>
      </w:pPr>
    </w:p>
    <w:p w14:paraId="10AE36C9" w14:textId="77777777" w:rsidR="00ED5B02" w:rsidRPr="00D65EA9" w:rsidRDefault="00ED5B02" w:rsidP="00ED5B02">
      <w:pPr>
        <w:pStyle w:val="a3"/>
        <w:numPr>
          <w:ilvl w:val="1"/>
          <w:numId w:val="24"/>
        </w:numPr>
        <w:tabs>
          <w:tab w:val="left" w:pos="1134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 Для случаев косвенного владения акциями (долями): если акциями (долями) иностранной компании владеет другая компания (партнерство или траст), то акционеры (владельцы) данной другой компании</w:t>
      </w:r>
      <w:r w:rsidRPr="00D65EA9">
        <w:t xml:space="preserve"> </w:t>
      </w:r>
      <w:r w:rsidRPr="00D65EA9">
        <w:rPr>
          <w:szCs w:val="24"/>
        </w:rPr>
        <w:t xml:space="preserve">будут считаться владельцами иностранной компании пропорционально своей доле </w:t>
      </w:r>
      <w:r w:rsidRPr="00D65EA9">
        <w:t xml:space="preserve">в </w:t>
      </w:r>
      <w:r w:rsidRPr="00D65EA9">
        <w:rPr>
          <w:szCs w:val="24"/>
        </w:rPr>
        <w:t>данной другой компании (партнерстве или трасте).</w:t>
      </w:r>
    </w:p>
    <w:p w14:paraId="067880D5" w14:textId="77777777" w:rsidR="00ED5B02" w:rsidRPr="00D65EA9" w:rsidRDefault="00ED5B02" w:rsidP="00ED5B02">
      <w:pPr>
        <w:pStyle w:val="a3"/>
        <w:numPr>
          <w:ilvl w:val="1"/>
          <w:numId w:val="24"/>
        </w:numPr>
        <w:tabs>
          <w:tab w:val="left" w:pos="1134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 Для случаев косвенного владения долей в партнерстве или трасте: если долей в партнерстве или трасте владеет другая компания (партнерство или траст), то акционеры (владельцы) данной другой компании будут считаться владельцами иностранной компании пропорционально своей доле в данной другой компании (партнерстве или трасте).</w:t>
      </w:r>
    </w:p>
    <w:p w14:paraId="57F32D9D" w14:textId="77777777" w:rsidR="00ED5B02" w:rsidRPr="00D65EA9" w:rsidRDefault="00ED5B02" w:rsidP="00ED5B02">
      <w:pPr>
        <w:pStyle w:val="a3"/>
        <w:numPr>
          <w:ilvl w:val="1"/>
          <w:numId w:val="24"/>
        </w:numPr>
        <w:tabs>
          <w:tab w:val="left" w:pos="1134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 Для случаев владения посредством опционов: если контролирующее лицо владеет, прямо или косвенно (косвенное владение определяется аналогично буллиту второму настоящего Приложения), опционом на покупку акций иностранной компании (долей в партнерстве или трасте), такое лицо будет считаться владельцем акций (долей) самой иностранной компании (партнерства/траста) в доле, указанной в опционе.</w:t>
      </w:r>
    </w:p>
    <w:p w14:paraId="2729CFC1" w14:textId="77777777" w:rsidR="00ED5B02" w:rsidRPr="00D65EA9" w:rsidRDefault="00ED5B02" w:rsidP="00ED5B02">
      <w:pPr>
        <w:pStyle w:val="a3"/>
        <w:numPr>
          <w:ilvl w:val="1"/>
          <w:numId w:val="24"/>
        </w:numPr>
        <w:tabs>
          <w:tab w:val="left" w:pos="1134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 При определении доли лица в иностранной корпорации / партнерстве / трасте необходимо принимать во внимание все факты и обстоятельства, имеющие значение. При этом любые инструменты, которые созданы для сокрытия (искусственного снижения) доли владения, должны игнорироваться.</w:t>
      </w:r>
    </w:p>
    <w:p w14:paraId="0A13F24A" w14:textId="77777777" w:rsidR="00D031D2" w:rsidRPr="00D65EA9" w:rsidRDefault="00ED5B02" w:rsidP="00D031D2">
      <w:pPr>
        <w:pStyle w:val="a3"/>
        <w:numPr>
          <w:ilvl w:val="1"/>
          <w:numId w:val="24"/>
        </w:numPr>
        <w:tabs>
          <w:tab w:val="left" w:pos="1134"/>
        </w:tabs>
        <w:spacing w:after="0" w:line="240" w:lineRule="auto"/>
        <w:ind w:left="0" w:right="0" w:firstLine="709"/>
        <w:rPr>
          <w:b/>
          <w:szCs w:val="24"/>
        </w:rPr>
      </w:pPr>
      <w:r w:rsidRPr="00D65EA9">
        <w:rPr>
          <w:szCs w:val="24"/>
        </w:rPr>
        <w:t xml:space="preserve"> Для определения доли лица в иностранной корпорации / партнерстве / трасте необходимо суммировать его долю с долями, которыми владеют лица, связанные с данным лицом, в т.ч. супруги, члены</w:t>
      </w:r>
      <w:r w:rsidRPr="00D65EA9">
        <w:t xml:space="preserve"> </w:t>
      </w:r>
      <w:r w:rsidRPr="00D65EA9">
        <w:rPr>
          <w:szCs w:val="24"/>
        </w:rPr>
        <w:t xml:space="preserve">семьи владельца акций и т.д. </w:t>
      </w:r>
      <w:r w:rsidR="00D031D2" w:rsidRPr="00D65EA9">
        <w:rPr>
          <w:b/>
          <w:szCs w:val="24"/>
        </w:rPr>
        <w:br w:type="page"/>
      </w:r>
    </w:p>
    <w:p w14:paraId="3A42A5D3" w14:textId="77777777" w:rsidR="00ED5B02" w:rsidRPr="00D65EA9" w:rsidRDefault="00ED5B02" w:rsidP="00ED5B02">
      <w:pPr>
        <w:spacing w:after="0" w:line="240" w:lineRule="auto"/>
        <w:contextualSpacing/>
        <w:jc w:val="center"/>
        <w:rPr>
          <w:b/>
          <w:szCs w:val="24"/>
        </w:rPr>
      </w:pPr>
      <w:r w:rsidRPr="00D65EA9">
        <w:rPr>
          <w:b/>
          <w:szCs w:val="24"/>
        </w:rPr>
        <w:lastRenderedPageBreak/>
        <w:t xml:space="preserve">Структура пассивных доходов </w:t>
      </w:r>
    </w:p>
    <w:p w14:paraId="29E0582F" w14:textId="77777777" w:rsidR="00ED5B02" w:rsidRPr="00D65EA9" w:rsidRDefault="00ED5B02" w:rsidP="00ED5B02">
      <w:pPr>
        <w:spacing w:after="0" w:line="240" w:lineRule="auto"/>
        <w:contextualSpacing/>
        <w:jc w:val="center"/>
        <w:rPr>
          <w:b/>
          <w:szCs w:val="24"/>
        </w:rPr>
      </w:pPr>
    </w:p>
    <w:p w14:paraId="1EA3D652" w14:textId="77777777" w:rsidR="00ED5B02" w:rsidRPr="00D65EA9" w:rsidRDefault="00ED5B02" w:rsidP="0036683B">
      <w:pPr>
        <w:tabs>
          <w:tab w:val="left" w:pos="993"/>
        </w:tabs>
        <w:spacing w:after="0" w:line="240" w:lineRule="auto"/>
        <w:ind w:right="134" w:firstLine="709"/>
        <w:contextualSpacing/>
        <w:rPr>
          <w:szCs w:val="24"/>
        </w:rPr>
      </w:pPr>
      <w:r w:rsidRPr="00D65EA9">
        <w:rPr>
          <w:szCs w:val="24"/>
        </w:rPr>
        <w:t>Для критериев отнесения клиентов к категории клиента –</w:t>
      </w:r>
      <w:r w:rsidR="0009337E" w:rsidRPr="00D65EA9">
        <w:rPr>
          <w:szCs w:val="24"/>
        </w:rPr>
        <w:t>налогоплательщика США</w:t>
      </w:r>
      <w:r w:rsidR="0036683B" w:rsidRPr="00D65EA9">
        <w:rPr>
          <w:szCs w:val="24"/>
        </w:rPr>
        <w:t xml:space="preserve"> </w:t>
      </w:r>
      <w:r w:rsidRPr="00D65EA9">
        <w:rPr>
          <w:szCs w:val="24"/>
        </w:rPr>
        <w:t>к пассивным доходам относятся следующие доходы:</w:t>
      </w:r>
    </w:p>
    <w:p w14:paraId="0E61DA10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>дивиденды;</w:t>
      </w:r>
    </w:p>
    <w:p w14:paraId="5AF75C39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>проценты;</w:t>
      </w:r>
    </w:p>
    <w:p w14:paraId="5E99CA53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>доходы, полученные от пула страховых договоров, при условии, что полученные суммы зависят целиком или в части от доходности пула;</w:t>
      </w:r>
    </w:p>
    <w:p w14:paraId="4CF3C744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>рента и роялти (за исключением ренты и роялти, полученной в ходе активной операционной деятельности);</w:t>
      </w:r>
    </w:p>
    <w:p w14:paraId="3F3051DF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>аннуитеты;</w:t>
      </w:r>
    </w:p>
    <w:p w14:paraId="3BC1AD81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>прибыль от продажи или обмена имущества, приносящего один из видов вышеуказанных доходов;</w:t>
      </w:r>
    </w:p>
    <w:p w14:paraId="102A115F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>прибыль от сделок с биржевыми товарами (включая фьючерсы, форварды и аналогичные сделки), за исключением сделок, которые являются хеджирующими, при условии, что сделки с такими товарами являются основной деятельностью организации;</w:t>
      </w:r>
    </w:p>
    <w:p w14:paraId="38E92561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>прибыль от операций с иностранной валютой (положительные или отрицательные курсовые разницы);</w:t>
      </w:r>
    </w:p>
    <w:p w14:paraId="634BD918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 xml:space="preserve">контракты, стоимость которых привязана к базовому активу (номиналу), например, </w:t>
      </w:r>
      <w:proofErr w:type="spellStart"/>
      <w:r w:rsidRPr="00D65EA9">
        <w:rPr>
          <w:szCs w:val="24"/>
        </w:rPr>
        <w:t>деривативы</w:t>
      </w:r>
      <w:proofErr w:type="spellEnd"/>
      <w:r w:rsidRPr="00D65EA9">
        <w:rPr>
          <w:szCs w:val="24"/>
        </w:rPr>
        <w:t xml:space="preserve"> (валютный СВОП, процентный СВОП, опционы и другие);</w:t>
      </w:r>
    </w:p>
    <w:p w14:paraId="6FD46C45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>выкупная сумма по договору страхования или сумма займа, обеспеченная договором страхования;</w:t>
      </w:r>
    </w:p>
    <w:p w14:paraId="434A8B40" w14:textId="77777777" w:rsidR="00ED5B02" w:rsidRPr="00D65EA9" w:rsidRDefault="00ED5B02" w:rsidP="00ED5B02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4"/>
        </w:rPr>
      </w:pPr>
      <w:r w:rsidRPr="00D65EA9">
        <w:rPr>
          <w:szCs w:val="24"/>
        </w:rPr>
        <w:t>суммы, полученные страховой компанией за счет резервов на осуществление страховой деятельности и аннуитетов.</w:t>
      </w:r>
    </w:p>
    <w:sectPr w:rsidR="00ED5B02" w:rsidRPr="00D65EA9" w:rsidSect="00C43018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850" w:bottom="993" w:left="99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23DE0" w14:textId="77777777" w:rsidR="002A6521" w:rsidRDefault="002A6521">
      <w:pPr>
        <w:spacing w:after="0" w:line="240" w:lineRule="auto"/>
      </w:pPr>
      <w:r>
        <w:separator/>
      </w:r>
    </w:p>
  </w:endnote>
  <w:endnote w:type="continuationSeparator" w:id="0">
    <w:p w14:paraId="6DE15CA6" w14:textId="77777777" w:rsidR="002A6521" w:rsidRDefault="002A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7B887" w14:textId="77777777" w:rsidR="00C05850" w:rsidRDefault="00C05850">
    <w:pPr>
      <w:spacing w:after="0" w:line="259" w:lineRule="auto"/>
      <w:ind w:right="3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43018">
      <w:rPr>
        <w:rFonts w:ascii="Calibri" w:eastAsia="Calibri" w:hAnsi="Calibri" w:cs="Calibri"/>
        <w:noProof/>
        <w:sz w:val="15"/>
      </w:rPr>
      <w:t>2</w:t>
    </w:r>
    <w:r>
      <w:rPr>
        <w:rFonts w:ascii="Calibri" w:eastAsia="Calibri" w:hAnsi="Calibri" w:cs="Calibri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65B1B" w14:textId="77777777" w:rsidR="00C05850" w:rsidRDefault="00C05850">
    <w:pPr>
      <w:spacing w:after="0" w:line="259" w:lineRule="auto"/>
      <w:ind w:right="3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EFD" w:rsidRPr="00354EFD">
      <w:rPr>
        <w:rFonts w:ascii="Calibri" w:eastAsia="Calibri" w:hAnsi="Calibri" w:cs="Calibri"/>
        <w:noProof/>
        <w:sz w:val="15"/>
      </w:rPr>
      <w:t>6</w:t>
    </w:r>
    <w:r>
      <w:rPr>
        <w:rFonts w:ascii="Calibri" w:eastAsia="Calibri" w:hAnsi="Calibri" w:cs="Calibri"/>
        <w:sz w:val="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2016" w14:textId="77777777" w:rsidR="00C05850" w:rsidRDefault="00C05850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73CB2" w14:textId="77777777" w:rsidR="002A6521" w:rsidRDefault="002A6521">
      <w:pPr>
        <w:spacing w:after="0" w:line="240" w:lineRule="auto"/>
      </w:pPr>
      <w:r>
        <w:separator/>
      </w:r>
    </w:p>
  </w:footnote>
  <w:footnote w:type="continuationSeparator" w:id="0">
    <w:p w14:paraId="71935764" w14:textId="77777777" w:rsidR="002A6521" w:rsidRDefault="002A6521">
      <w:pPr>
        <w:spacing w:after="0" w:line="240" w:lineRule="auto"/>
      </w:pPr>
      <w:r>
        <w:continuationSeparator/>
      </w:r>
    </w:p>
  </w:footnote>
  <w:footnote w:id="1">
    <w:p w14:paraId="4083B949" w14:textId="77777777" w:rsidR="00C05850" w:rsidRPr="00C43018" w:rsidRDefault="00C05850" w:rsidP="00846860">
      <w:pPr>
        <w:pStyle w:val="footnotedescription"/>
        <w:spacing w:line="238" w:lineRule="auto"/>
        <w:ind w:firstLine="709"/>
        <w:rPr>
          <w:rFonts w:asciiTheme="minorHAnsi" w:hAnsiTheme="minorHAnsi"/>
          <w:szCs w:val="16"/>
        </w:rPr>
      </w:pPr>
      <w:r w:rsidRPr="00C43018">
        <w:rPr>
          <w:rStyle w:val="ab"/>
          <w:rFonts w:asciiTheme="minorHAnsi" w:hAnsiTheme="minorHAnsi"/>
          <w:szCs w:val="16"/>
        </w:rPr>
        <w:footnoteRef/>
      </w:r>
      <w:r w:rsidRPr="00C43018">
        <w:rPr>
          <w:rFonts w:asciiTheme="minorHAnsi" w:hAnsiTheme="minorHAnsi"/>
          <w:szCs w:val="16"/>
        </w:rPr>
        <w:t xml:space="preserve"> Бенефициар в целях Закона США от 18.03.2010 «О налогообложении иностранных счетов» (FATCA)» (в отличие от понятия в целях Федерального закона РФ от 07.08.2001 N 115-ФЗ) - физическое лицо, которое, в конечном счете, прямо или косвенно, в т.ч. через третьих лиц владеет юридическим лицом (имеет преобладающее участие в иностранной корпорации/партнёрстве/простом или сложным трасте (доверительном управлении) более 10%; в инвестиционной компании/трасте гранта - любое право собственности (более 0%)). </w:t>
      </w:r>
    </w:p>
  </w:footnote>
  <w:footnote w:id="2">
    <w:p w14:paraId="1867F3E6" w14:textId="77777777" w:rsidR="00C05850" w:rsidRPr="00C43018" w:rsidRDefault="00C05850" w:rsidP="00846860">
      <w:pPr>
        <w:pStyle w:val="a9"/>
        <w:ind w:firstLine="709"/>
        <w:jc w:val="both"/>
        <w:rPr>
          <w:rFonts w:asciiTheme="minorHAnsi" w:hAnsiTheme="minorHAnsi"/>
          <w:sz w:val="16"/>
          <w:szCs w:val="16"/>
          <w:lang w:val="ru-RU"/>
        </w:rPr>
      </w:pPr>
      <w:r w:rsidRPr="00C43018">
        <w:rPr>
          <w:rStyle w:val="ab"/>
          <w:rFonts w:asciiTheme="minorHAnsi" w:hAnsiTheme="minorHAnsi"/>
          <w:sz w:val="16"/>
          <w:szCs w:val="16"/>
        </w:rPr>
        <w:footnoteRef/>
      </w:r>
      <w:r w:rsidRPr="00C43018">
        <w:rPr>
          <w:rFonts w:asciiTheme="minorHAnsi" w:hAnsiTheme="minorHAnsi"/>
          <w:sz w:val="16"/>
          <w:szCs w:val="16"/>
          <w:lang w:val="ru-RU"/>
        </w:rPr>
        <w:t xml:space="preserve"> </w:t>
      </w:r>
      <w:r w:rsidRPr="00C43018">
        <w:rPr>
          <w:rFonts w:asciiTheme="minorHAnsi" w:hAnsiTheme="minorHAnsi" w:cs="Calibri"/>
          <w:sz w:val="16"/>
          <w:szCs w:val="16"/>
          <w:lang w:val="ru-RU"/>
        </w:rPr>
        <w:t xml:space="preserve">К «пассивным доходам» относятся: дивиденды; проценты; доходы, полученные от пула страховых договоров, при условии, что полученные суммы зависят целиком или в части от доходности пула; рента и роялти (за исключением ренты и роялти, полученной в ходе активной операционной деятельности); аннуитеты; прибыль от продажи или обмена имущества, приносящего один из видов вышеуказанных доходов; прибыль от сделок с биржевыми товарами (включая фьючерсы, форварды и аналогичные сделки), за исключением сделок, которые являются хеджирующими, при условии, что сделки с такими товарами являются основной деятельностью; прибыль от операций с иностранной валютой (положительные или отрицательные курсовые разницы); контракты, стоимость которых привязана к базовому активу (номиналу), например, </w:t>
      </w:r>
      <w:proofErr w:type="spellStart"/>
      <w:r w:rsidRPr="00C43018">
        <w:rPr>
          <w:rFonts w:asciiTheme="minorHAnsi" w:hAnsiTheme="minorHAnsi" w:cs="Calibri"/>
          <w:sz w:val="16"/>
          <w:szCs w:val="16"/>
          <w:lang w:val="ru-RU"/>
        </w:rPr>
        <w:t>деривативы</w:t>
      </w:r>
      <w:proofErr w:type="spellEnd"/>
      <w:r w:rsidRPr="00C43018">
        <w:rPr>
          <w:rFonts w:asciiTheme="minorHAnsi" w:hAnsiTheme="minorHAnsi" w:cs="Calibri"/>
          <w:sz w:val="16"/>
          <w:szCs w:val="16"/>
          <w:lang w:val="ru-RU"/>
        </w:rPr>
        <w:t xml:space="preserve"> (валютный СВОП, процентный СВОП, опционы и др.); выкупная сумма по договору страхования или сумма займа, обеспеченная договором страхования; суммы, полученные страховой компанией за счет резервов на осуществление страховой деятельности и аннуитетов.</w:t>
      </w:r>
    </w:p>
  </w:footnote>
  <w:footnote w:id="3">
    <w:p w14:paraId="670471E1" w14:textId="77777777" w:rsidR="0036683B" w:rsidRDefault="00C05850" w:rsidP="0036683B">
      <w:pPr>
        <w:spacing w:after="4" w:line="259" w:lineRule="auto"/>
        <w:ind w:left="10" w:right="0"/>
        <w:rPr>
          <w:rFonts w:asciiTheme="minorHAnsi" w:hAnsiTheme="minorHAnsi"/>
          <w:i/>
          <w:sz w:val="16"/>
          <w:szCs w:val="16"/>
        </w:rPr>
      </w:pPr>
      <w:r w:rsidRPr="00846860">
        <w:rPr>
          <w:rFonts w:asciiTheme="minorHAnsi" w:hAnsiTheme="minorHAnsi"/>
          <w:sz w:val="16"/>
          <w:szCs w:val="16"/>
          <w:vertAlign w:val="superscript"/>
        </w:rPr>
        <w:footnoteRef/>
      </w:r>
      <w:r w:rsidRPr="00846860">
        <w:rPr>
          <w:rFonts w:asciiTheme="minorHAnsi" w:hAnsiTheme="minorHAnsi"/>
          <w:sz w:val="16"/>
          <w:szCs w:val="16"/>
        </w:rPr>
        <w:t xml:space="preserve"> </w:t>
      </w:r>
      <w:r w:rsidRPr="00846860">
        <w:rPr>
          <w:rFonts w:asciiTheme="minorHAnsi" w:hAnsiTheme="minorHAnsi"/>
          <w:i/>
          <w:sz w:val="16"/>
          <w:szCs w:val="16"/>
        </w:rPr>
        <w:t>Под «финансовым</w:t>
      </w:r>
      <w:r w:rsidRPr="0084686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846860">
        <w:rPr>
          <w:rFonts w:asciiTheme="minorHAnsi" w:hAnsiTheme="minorHAnsi"/>
          <w:i/>
          <w:sz w:val="16"/>
          <w:szCs w:val="16"/>
        </w:rPr>
        <w:t xml:space="preserve">институтом» в целях FATCA помимо банков понимается организация, </w:t>
      </w:r>
      <w:r w:rsidR="0036683B" w:rsidRPr="0036683B">
        <w:rPr>
          <w:rFonts w:asciiTheme="minorHAnsi" w:hAnsiTheme="minorHAnsi"/>
          <w:i/>
          <w:sz w:val="16"/>
          <w:szCs w:val="16"/>
        </w:rPr>
        <w:t>юридическое лицо, осуществляющее хотя бы один из следующих видов деятельности:</w:t>
      </w:r>
      <w:r w:rsidR="0036683B">
        <w:rPr>
          <w:rFonts w:asciiTheme="minorHAnsi" w:hAnsiTheme="minorHAnsi"/>
          <w:i/>
          <w:sz w:val="16"/>
          <w:szCs w:val="16"/>
        </w:rPr>
        <w:t xml:space="preserve"> </w:t>
      </w:r>
      <w:r w:rsidR="0036683B" w:rsidRPr="0036683B">
        <w:rPr>
          <w:rFonts w:asciiTheme="minorHAnsi" w:hAnsiTheme="minorHAnsi"/>
          <w:i/>
          <w:sz w:val="16"/>
          <w:szCs w:val="16"/>
        </w:rPr>
        <w:t>• принятие депозитов в рамках обычной банковской или иной аналогичной деятельности;</w:t>
      </w:r>
      <w:r w:rsidR="0036683B">
        <w:rPr>
          <w:rFonts w:asciiTheme="minorHAnsi" w:hAnsiTheme="minorHAnsi"/>
          <w:i/>
          <w:sz w:val="16"/>
          <w:szCs w:val="16"/>
        </w:rPr>
        <w:t xml:space="preserve"> </w:t>
      </w:r>
      <w:r w:rsidR="0036683B" w:rsidRPr="0036683B">
        <w:rPr>
          <w:rFonts w:asciiTheme="minorHAnsi" w:hAnsiTheme="minorHAnsi"/>
          <w:i/>
          <w:sz w:val="16"/>
          <w:szCs w:val="16"/>
        </w:rPr>
        <w:t>• депозитарную деятельность;</w:t>
      </w:r>
      <w:r w:rsidR="0036683B">
        <w:rPr>
          <w:rFonts w:asciiTheme="minorHAnsi" w:hAnsiTheme="minorHAnsi"/>
          <w:i/>
          <w:sz w:val="16"/>
          <w:szCs w:val="16"/>
        </w:rPr>
        <w:t xml:space="preserve"> • инвестиционную деятельность (</w:t>
      </w:r>
      <w:r w:rsidR="0036683B" w:rsidRPr="0036683B">
        <w:rPr>
          <w:rFonts w:asciiTheme="minorHAnsi" w:hAnsiTheme="minorHAnsi"/>
          <w:i/>
          <w:sz w:val="16"/>
          <w:szCs w:val="16"/>
        </w:rPr>
        <w:t xml:space="preserve">торговлю финансовыми активами (инструменты денежного рынка, валюта, ценные бумаги, </w:t>
      </w:r>
      <w:proofErr w:type="spellStart"/>
      <w:r w:rsidR="0036683B" w:rsidRPr="0036683B">
        <w:rPr>
          <w:rFonts w:asciiTheme="minorHAnsi" w:hAnsiTheme="minorHAnsi"/>
          <w:i/>
          <w:sz w:val="16"/>
          <w:szCs w:val="16"/>
        </w:rPr>
        <w:t>деривативы</w:t>
      </w:r>
      <w:proofErr w:type="spellEnd"/>
      <w:r w:rsidR="0036683B" w:rsidRPr="0036683B">
        <w:rPr>
          <w:rFonts w:asciiTheme="minorHAnsi" w:hAnsiTheme="minorHAnsi"/>
          <w:i/>
          <w:sz w:val="16"/>
          <w:szCs w:val="16"/>
        </w:rPr>
        <w:t>); управление индивидуальными или коллективными активами; иную деятельность, связанную с инвестированием, администрированием, управлением фондами, денежными средствами или другими финансовыми активами от имени третьих лиц; компания, которая инвестирует (реинвестирует, торгует) в финансовые активы и которая находится под профессиональным управлением финансового института</w:t>
      </w:r>
      <w:r w:rsidR="0036683B">
        <w:rPr>
          <w:rFonts w:asciiTheme="minorHAnsi" w:hAnsiTheme="minorHAnsi"/>
          <w:i/>
          <w:sz w:val="16"/>
          <w:szCs w:val="16"/>
        </w:rPr>
        <w:t xml:space="preserve">), </w:t>
      </w:r>
      <w:r w:rsidR="0036683B" w:rsidRPr="0036683B">
        <w:rPr>
          <w:rFonts w:asciiTheme="minorHAnsi" w:hAnsiTheme="minorHAnsi"/>
          <w:i/>
          <w:sz w:val="16"/>
          <w:szCs w:val="16"/>
        </w:rPr>
        <w:t>• инвестиционный фонд;</w:t>
      </w:r>
      <w:r w:rsidR="0036683B">
        <w:rPr>
          <w:rFonts w:asciiTheme="minorHAnsi" w:hAnsiTheme="minorHAnsi"/>
          <w:i/>
          <w:sz w:val="16"/>
          <w:szCs w:val="16"/>
        </w:rPr>
        <w:t xml:space="preserve"> </w:t>
      </w:r>
      <w:r w:rsidR="0036683B" w:rsidRPr="0036683B">
        <w:rPr>
          <w:rFonts w:asciiTheme="minorHAnsi" w:hAnsiTheme="minorHAnsi"/>
          <w:i/>
          <w:sz w:val="16"/>
          <w:szCs w:val="16"/>
        </w:rPr>
        <w:t>• страховая компания;</w:t>
      </w:r>
      <w:r w:rsidR="0036683B">
        <w:rPr>
          <w:rFonts w:asciiTheme="minorHAnsi" w:hAnsiTheme="minorHAnsi"/>
          <w:i/>
          <w:sz w:val="16"/>
          <w:szCs w:val="16"/>
        </w:rPr>
        <w:t xml:space="preserve"> </w:t>
      </w:r>
      <w:r w:rsidR="0036683B" w:rsidRPr="0036683B">
        <w:rPr>
          <w:rFonts w:asciiTheme="minorHAnsi" w:hAnsiTheme="minorHAnsi"/>
          <w:i/>
          <w:sz w:val="16"/>
          <w:szCs w:val="16"/>
        </w:rPr>
        <w:t>• холдинговая компания или казначейский центр, который: является членом расширенной аффилированной группы, в которую входят финансовые институты; создан(-а) для владения активами инвестиционного фонда.</w:t>
      </w:r>
    </w:p>
    <w:p w14:paraId="3091AED7" w14:textId="77777777" w:rsidR="00C05850" w:rsidRPr="00846860" w:rsidRDefault="00C05850" w:rsidP="00E3204F">
      <w:pPr>
        <w:pStyle w:val="footnotedescription"/>
        <w:spacing w:line="238" w:lineRule="auto"/>
        <w:rPr>
          <w:rFonts w:asciiTheme="minorHAnsi" w:hAnsiTheme="minorHAnsi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B9279" w14:textId="1AE0E4B1" w:rsidR="00124D6A" w:rsidRDefault="00124D6A">
    <w:pPr>
      <w:pStyle w:val="af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E0E"/>
    <w:multiLevelType w:val="multilevel"/>
    <w:tmpl w:val="491884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AF7520C"/>
    <w:multiLevelType w:val="hybridMultilevel"/>
    <w:tmpl w:val="C35636B8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E4F2563"/>
    <w:multiLevelType w:val="multilevel"/>
    <w:tmpl w:val="FB6ADD9C"/>
    <w:lvl w:ilvl="0">
      <w:start w:val="1"/>
      <w:numFmt w:val="decimal"/>
      <w:lvlText w:val="%1.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36161D"/>
    <w:multiLevelType w:val="hybridMultilevel"/>
    <w:tmpl w:val="1338BA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2F22CE"/>
    <w:multiLevelType w:val="multilevel"/>
    <w:tmpl w:val="02F4BC94"/>
    <w:lvl w:ilvl="0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802D05"/>
    <w:multiLevelType w:val="hybridMultilevel"/>
    <w:tmpl w:val="ADD0B3C2"/>
    <w:lvl w:ilvl="0" w:tplc="8FB0FB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E2CE0">
      <w:start w:val="1"/>
      <w:numFmt w:val="bullet"/>
      <w:lvlText w:val="o"/>
      <w:lvlJc w:val="left"/>
      <w:pPr>
        <w:ind w:left="1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64974">
      <w:start w:val="1"/>
      <w:numFmt w:val="bullet"/>
      <w:lvlText w:val="▪"/>
      <w:lvlJc w:val="left"/>
      <w:pPr>
        <w:ind w:left="2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24C76">
      <w:start w:val="1"/>
      <w:numFmt w:val="bullet"/>
      <w:lvlText w:val="•"/>
      <w:lvlJc w:val="left"/>
      <w:pPr>
        <w:ind w:left="3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C222">
      <w:start w:val="1"/>
      <w:numFmt w:val="bullet"/>
      <w:lvlText w:val="o"/>
      <w:lvlJc w:val="left"/>
      <w:pPr>
        <w:ind w:left="3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4CB50">
      <w:start w:val="1"/>
      <w:numFmt w:val="bullet"/>
      <w:lvlText w:val="▪"/>
      <w:lvlJc w:val="left"/>
      <w:pPr>
        <w:ind w:left="4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2285A">
      <w:start w:val="1"/>
      <w:numFmt w:val="bullet"/>
      <w:lvlText w:val="•"/>
      <w:lvlJc w:val="left"/>
      <w:pPr>
        <w:ind w:left="5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98929A">
      <w:start w:val="1"/>
      <w:numFmt w:val="bullet"/>
      <w:lvlText w:val="o"/>
      <w:lvlJc w:val="left"/>
      <w:pPr>
        <w:ind w:left="6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8FC36">
      <w:start w:val="1"/>
      <w:numFmt w:val="bullet"/>
      <w:lvlText w:val="▪"/>
      <w:lvlJc w:val="left"/>
      <w:pPr>
        <w:ind w:left="6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5C3618"/>
    <w:multiLevelType w:val="hybridMultilevel"/>
    <w:tmpl w:val="F5AC8A80"/>
    <w:lvl w:ilvl="0" w:tplc="D7767DEC">
      <w:start w:val="1"/>
      <w:numFmt w:val="bullet"/>
      <w:lvlText w:val="•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08CE2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56E764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A9EE68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1C019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944AF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6676F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BC201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04894C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028D4"/>
    <w:multiLevelType w:val="hybridMultilevel"/>
    <w:tmpl w:val="A508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D4B02"/>
    <w:multiLevelType w:val="multilevel"/>
    <w:tmpl w:val="21F4D5C2"/>
    <w:lvl w:ilvl="0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795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30D39"/>
    <w:multiLevelType w:val="multilevel"/>
    <w:tmpl w:val="0290B87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795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F96A0B"/>
    <w:multiLevelType w:val="multilevel"/>
    <w:tmpl w:val="CD5A7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E5419CD"/>
    <w:multiLevelType w:val="hybridMultilevel"/>
    <w:tmpl w:val="752A6DDC"/>
    <w:lvl w:ilvl="0" w:tplc="1E425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5069"/>
    <w:multiLevelType w:val="hybridMultilevel"/>
    <w:tmpl w:val="4134CD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82468A"/>
    <w:multiLevelType w:val="multilevel"/>
    <w:tmpl w:val="CCA683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72016DE"/>
    <w:multiLevelType w:val="hybridMultilevel"/>
    <w:tmpl w:val="EF02D822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5" w15:restartNumberingAfterBreak="0">
    <w:nsid w:val="3A297E1A"/>
    <w:multiLevelType w:val="hybridMultilevel"/>
    <w:tmpl w:val="14E280D8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11926B5"/>
    <w:multiLevelType w:val="hybridMultilevel"/>
    <w:tmpl w:val="66322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27EE9"/>
    <w:multiLevelType w:val="multilevel"/>
    <w:tmpl w:val="795E701A"/>
    <w:lvl w:ilvl="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3C52B5"/>
    <w:multiLevelType w:val="multilevel"/>
    <w:tmpl w:val="71D2E380"/>
    <w:lvl w:ilvl="0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795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C55BE5"/>
    <w:multiLevelType w:val="hybridMultilevel"/>
    <w:tmpl w:val="365480DC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0" w15:restartNumberingAfterBreak="0">
    <w:nsid w:val="6D6F1A2C"/>
    <w:multiLevelType w:val="hybridMultilevel"/>
    <w:tmpl w:val="7EFE6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743B"/>
    <w:multiLevelType w:val="hybridMultilevel"/>
    <w:tmpl w:val="A4DC3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3C380A"/>
    <w:multiLevelType w:val="multilevel"/>
    <w:tmpl w:val="2D28C756"/>
    <w:lvl w:ilvl="0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795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5F70E5"/>
    <w:multiLevelType w:val="hybridMultilevel"/>
    <w:tmpl w:val="7C4A85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7A6F6C"/>
    <w:multiLevelType w:val="hybridMultilevel"/>
    <w:tmpl w:val="A98E1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85224C"/>
    <w:multiLevelType w:val="hybridMultilevel"/>
    <w:tmpl w:val="9BC8DF2A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78680385"/>
    <w:multiLevelType w:val="multilevel"/>
    <w:tmpl w:val="795E701A"/>
    <w:lvl w:ilvl="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AA4D9B"/>
    <w:multiLevelType w:val="multilevel"/>
    <w:tmpl w:val="E08C03E6"/>
    <w:lvl w:ilvl="0">
      <w:start w:val="1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7B17B7"/>
    <w:multiLevelType w:val="multilevel"/>
    <w:tmpl w:val="D6480604"/>
    <w:lvl w:ilvl="0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6"/>
  </w:num>
  <w:num w:numId="3">
    <w:abstractNumId w:val="28"/>
  </w:num>
  <w:num w:numId="4">
    <w:abstractNumId w:val="2"/>
  </w:num>
  <w:num w:numId="5">
    <w:abstractNumId w:val="5"/>
  </w:num>
  <w:num w:numId="6">
    <w:abstractNumId w:val="4"/>
  </w:num>
  <w:num w:numId="7">
    <w:abstractNumId w:val="19"/>
  </w:num>
  <w:num w:numId="8">
    <w:abstractNumId w:val="14"/>
  </w:num>
  <w:num w:numId="9">
    <w:abstractNumId w:val="3"/>
  </w:num>
  <w:num w:numId="10">
    <w:abstractNumId w:val="17"/>
  </w:num>
  <w:num w:numId="11">
    <w:abstractNumId w:val="27"/>
  </w:num>
  <w:num w:numId="12">
    <w:abstractNumId w:val="9"/>
  </w:num>
  <w:num w:numId="13">
    <w:abstractNumId w:val="18"/>
  </w:num>
  <w:num w:numId="14">
    <w:abstractNumId w:val="22"/>
  </w:num>
  <w:num w:numId="15">
    <w:abstractNumId w:val="8"/>
  </w:num>
  <w:num w:numId="16">
    <w:abstractNumId w:val="12"/>
  </w:num>
  <w:num w:numId="17">
    <w:abstractNumId w:val="23"/>
  </w:num>
  <w:num w:numId="18">
    <w:abstractNumId w:val="16"/>
  </w:num>
  <w:num w:numId="19">
    <w:abstractNumId w:val="21"/>
  </w:num>
  <w:num w:numId="20">
    <w:abstractNumId w:val="20"/>
  </w:num>
  <w:num w:numId="21">
    <w:abstractNumId w:val="7"/>
  </w:num>
  <w:num w:numId="22">
    <w:abstractNumId w:val="0"/>
  </w:num>
  <w:num w:numId="23">
    <w:abstractNumId w:val="10"/>
  </w:num>
  <w:num w:numId="24">
    <w:abstractNumId w:val="13"/>
  </w:num>
  <w:num w:numId="25">
    <w:abstractNumId w:val="24"/>
  </w:num>
  <w:num w:numId="26">
    <w:abstractNumId w:val="1"/>
  </w:num>
  <w:num w:numId="27">
    <w:abstractNumId w:val="25"/>
  </w:num>
  <w:num w:numId="28">
    <w:abstractNumId w:val="1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54"/>
    <w:rsid w:val="00022BB2"/>
    <w:rsid w:val="000303F9"/>
    <w:rsid w:val="0009337E"/>
    <w:rsid w:val="000A6702"/>
    <w:rsid w:val="000D0185"/>
    <w:rsid w:val="000E6286"/>
    <w:rsid w:val="001137AF"/>
    <w:rsid w:val="00124D6A"/>
    <w:rsid w:val="00147649"/>
    <w:rsid w:val="001500A3"/>
    <w:rsid w:val="002045E2"/>
    <w:rsid w:val="00250969"/>
    <w:rsid w:val="00270334"/>
    <w:rsid w:val="00290DAB"/>
    <w:rsid w:val="002A6521"/>
    <w:rsid w:val="002D5927"/>
    <w:rsid w:val="002F6377"/>
    <w:rsid w:val="00354EFD"/>
    <w:rsid w:val="0036683B"/>
    <w:rsid w:val="003950A5"/>
    <w:rsid w:val="003A77EF"/>
    <w:rsid w:val="003B6DF9"/>
    <w:rsid w:val="00404AC1"/>
    <w:rsid w:val="00413DD4"/>
    <w:rsid w:val="00415930"/>
    <w:rsid w:val="0044544D"/>
    <w:rsid w:val="004616EA"/>
    <w:rsid w:val="00465B22"/>
    <w:rsid w:val="00473147"/>
    <w:rsid w:val="0049204A"/>
    <w:rsid w:val="004B2F7B"/>
    <w:rsid w:val="004F1EE6"/>
    <w:rsid w:val="00500F6B"/>
    <w:rsid w:val="0052070F"/>
    <w:rsid w:val="00560C57"/>
    <w:rsid w:val="0056406D"/>
    <w:rsid w:val="005651E5"/>
    <w:rsid w:val="005D35DE"/>
    <w:rsid w:val="005F4B8E"/>
    <w:rsid w:val="00600C4F"/>
    <w:rsid w:val="00621064"/>
    <w:rsid w:val="006254E1"/>
    <w:rsid w:val="00671954"/>
    <w:rsid w:val="007054E7"/>
    <w:rsid w:val="00705CE2"/>
    <w:rsid w:val="00734D1E"/>
    <w:rsid w:val="007506F3"/>
    <w:rsid w:val="007B618C"/>
    <w:rsid w:val="007D4A33"/>
    <w:rsid w:val="007E0383"/>
    <w:rsid w:val="00846860"/>
    <w:rsid w:val="0085113C"/>
    <w:rsid w:val="00870CD5"/>
    <w:rsid w:val="008940C7"/>
    <w:rsid w:val="008B2306"/>
    <w:rsid w:val="008B6539"/>
    <w:rsid w:val="008E65A3"/>
    <w:rsid w:val="009006DA"/>
    <w:rsid w:val="009100E1"/>
    <w:rsid w:val="00940121"/>
    <w:rsid w:val="009508F9"/>
    <w:rsid w:val="0096741A"/>
    <w:rsid w:val="009E5692"/>
    <w:rsid w:val="009F5F17"/>
    <w:rsid w:val="009F6D35"/>
    <w:rsid w:val="00A0169F"/>
    <w:rsid w:val="00A305D8"/>
    <w:rsid w:val="00A3328C"/>
    <w:rsid w:val="00A71DFE"/>
    <w:rsid w:val="00A747A2"/>
    <w:rsid w:val="00A770C6"/>
    <w:rsid w:val="00A80573"/>
    <w:rsid w:val="00A82424"/>
    <w:rsid w:val="00B04DD3"/>
    <w:rsid w:val="00B17268"/>
    <w:rsid w:val="00B9752E"/>
    <w:rsid w:val="00BC16E6"/>
    <w:rsid w:val="00BC3AC7"/>
    <w:rsid w:val="00C05850"/>
    <w:rsid w:val="00C229EC"/>
    <w:rsid w:val="00C43018"/>
    <w:rsid w:val="00C47678"/>
    <w:rsid w:val="00C84D08"/>
    <w:rsid w:val="00CD2548"/>
    <w:rsid w:val="00D031D2"/>
    <w:rsid w:val="00D34A4B"/>
    <w:rsid w:val="00D65EA9"/>
    <w:rsid w:val="00DA2D4A"/>
    <w:rsid w:val="00DD0C52"/>
    <w:rsid w:val="00E3204F"/>
    <w:rsid w:val="00E73E3F"/>
    <w:rsid w:val="00EC24C1"/>
    <w:rsid w:val="00ED5B02"/>
    <w:rsid w:val="00EE5AFF"/>
    <w:rsid w:val="00F07B48"/>
    <w:rsid w:val="00F63296"/>
    <w:rsid w:val="00F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4F07D"/>
  <w15:docId w15:val="{71F9374A-341F-4B7C-A336-064810D8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right="1096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13DD4"/>
    <w:pPr>
      <w:ind w:left="720"/>
      <w:contextualSpacing/>
    </w:pPr>
  </w:style>
  <w:style w:type="paragraph" w:customStyle="1" w:styleId="Default">
    <w:name w:val="Default"/>
    <w:rsid w:val="00A305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6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286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1">
    <w:name w:val="TableGrid1"/>
    <w:rsid w:val="00500F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50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rsid w:val="005D35DE"/>
    <w:pPr>
      <w:spacing w:after="0" w:line="240" w:lineRule="auto"/>
      <w:ind w:right="0" w:firstLine="0"/>
      <w:jc w:val="left"/>
    </w:pPr>
    <w:rPr>
      <w:rFonts w:eastAsia="Calibri"/>
      <w:color w:val="auto"/>
      <w:sz w:val="20"/>
      <w:szCs w:val="20"/>
      <w:lang w:val="en-US" w:eastAsia="en-US"/>
    </w:rPr>
  </w:style>
  <w:style w:type="character" w:customStyle="1" w:styleId="a8">
    <w:name w:val="Текст примечания Знак"/>
    <w:basedOn w:val="a0"/>
    <w:link w:val="a7"/>
    <w:rsid w:val="005D35DE"/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styleId="a9">
    <w:name w:val="footnote text"/>
    <w:basedOn w:val="a"/>
    <w:link w:val="aa"/>
    <w:uiPriority w:val="99"/>
    <w:rsid w:val="005D35DE"/>
    <w:pPr>
      <w:suppressAutoHyphens/>
      <w:autoSpaceDN w:val="0"/>
      <w:spacing w:after="0" w:line="240" w:lineRule="auto"/>
      <w:ind w:right="0" w:firstLine="0"/>
      <w:jc w:val="left"/>
      <w:textAlignment w:val="baseline"/>
    </w:pPr>
    <w:rPr>
      <w:rFonts w:eastAsia="Calibri"/>
      <w:color w:val="auto"/>
      <w:kern w:val="3"/>
      <w:sz w:val="20"/>
      <w:szCs w:val="20"/>
      <w:lang w:val="en-US" w:eastAsia="en-US"/>
    </w:rPr>
  </w:style>
  <w:style w:type="character" w:customStyle="1" w:styleId="aa">
    <w:name w:val="Текст сноски Знак"/>
    <w:basedOn w:val="a0"/>
    <w:link w:val="a9"/>
    <w:uiPriority w:val="99"/>
    <w:rsid w:val="005D35DE"/>
    <w:rPr>
      <w:rFonts w:ascii="Times New Roman" w:eastAsia="Calibri" w:hAnsi="Times New Roman" w:cs="Times New Roman"/>
      <w:kern w:val="3"/>
      <w:sz w:val="20"/>
      <w:szCs w:val="20"/>
      <w:lang w:val="en-US" w:eastAsia="en-US"/>
    </w:rPr>
  </w:style>
  <w:style w:type="character" w:styleId="ab">
    <w:name w:val="footnote reference"/>
    <w:basedOn w:val="a0"/>
    <w:uiPriority w:val="99"/>
    <w:rsid w:val="005D35DE"/>
    <w:rPr>
      <w:rFonts w:cs="Times New Roman"/>
      <w:position w:val="0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1726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1726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17268"/>
    <w:rPr>
      <w:vertAlign w:val="superscript"/>
    </w:rPr>
  </w:style>
  <w:style w:type="character" w:styleId="af">
    <w:name w:val="Hyperlink"/>
    <w:basedOn w:val="a0"/>
    <w:uiPriority w:val="99"/>
    <w:unhideWhenUsed/>
    <w:rsid w:val="009F5F17"/>
    <w:rPr>
      <w:color w:val="0563C1" w:themeColor="hyperlink"/>
      <w:u w:val="single"/>
    </w:rPr>
  </w:style>
  <w:style w:type="paragraph" w:customStyle="1" w:styleId="footnotedescription">
    <w:name w:val="footnote description"/>
    <w:next w:val="a"/>
    <w:link w:val="footnotedescriptionChar"/>
    <w:hidden/>
    <w:rsid w:val="00C43018"/>
    <w:pPr>
      <w:spacing w:after="0" w:line="226" w:lineRule="auto"/>
      <w:ind w:right="2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C43018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sid w:val="00C43018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customStyle="1" w:styleId="ConsPlusNormal">
    <w:name w:val="ConsPlusNormal"/>
    <w:rsid w:val="00870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124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24D6A"/>
    <w:rPr>
      <w:rFonts w:ascii="Times New Roman" w:eastAsia="Times New Roman" w:hAnsi="Times New Roman" w:cs="Times New Roman"/>
      <w:color w:val="000000"/>
      <w:sz w:val="24"/>
    </w:rPr>
  </w:style>
  <w:style w:type="character" w:styleId="af2">
    <w:name w:val="annotation reference"/>
    <w:basedOn w:val="a0"/>
    <w:uiPriority w:val="99"/>
    <w:semiHidden/>
    <w:unhideWhenUsed/>
    <w:rsid w:val="008B2306"/>
    <w:rPr>
      <w:sz w:val="16"/>
      <w:szCs w:val="16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8B2306"/>
    <w:pPr>
      <w:spacing w:after="3"/>
      <w:ind w:right="1096" w:firstLine="710"/>
      <w:jc w:val="both"/>
    </w:pPr>
    <w:rPr>
      <w:rFonts w:eastAsia="Times New Roman"/>
      <w:b/>
      <w:bCs/>
      <w:color w:val="000000"/>
      <w:lang w:val="ru-RU" w:eastAsia="ru-RU"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8B2306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5CBE0-5EF6-40E7-AC30-BF1EA1FF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osok</dc:creator>
  <cp:lastModifiedBy>Pogozheva Elena</cp:lastModifiedBy>
  <cp:revision>5</cp:revision>
  <cp:lastPrinted>2016-02-20T10:17:00Z</cp:lastPrinted>
  <dcterms:created xsi:type="dcterms:W3CDTF">2018-06-04T15:07:00Z</dcterms:created>
  <dcterms:modified xsi:type="dcterms:W3CDTF">2018-06-29T15:02:00Z</dcterms:modified>
</cp:coreProperties>
</file>